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552" w:rsidRDefault="00701552" w:rsidP="00701552">
      <w:pPr>
        <w:jc w:val="center"/>
        <w:rPr>
          <w:b/>
          <w:caps/>
          <w:sz w:val="28"/>
        </w:rPr>
      </w:pPr>
      <w:r>
        <w:rPr>
          <w:b/>
          <w:caps/>
          <w:sz w:val="28"/>
        </w:rPr>
        <w:t>Sächsisches</w:t>
      </w:r>
    </w:p>
    <w:p w:rsidR="00701552" w:rsidRDefault="00701552" w:rsidP="00701552">
      <w:pPr>
        <w:jc w:val="center"/>
        <w:rPr>
          <w:caps/>
          <w:sz w:val="24"/>
        </w:rPr>
      </w:pPr>
      <w:r>
        <w:rPr>
          <w:b/>
          <w:caps/>
          <w:sz w:val="28"/>
        </w:rPr>
        <w:t>Oberverwaltungsgericht</w:t>
      </w:r>
    </w:p>
    <w:p w:rsidR="00701552" w:rsidRDefault="00701552" w:rsidP="00701552">
      <w:pPr>
        <w:spacing w:line="360" w:lineRule="auto"/>
        <w:rPr>
          <w:caps/>
          <w:sz w:val="24"/>
        </w:rPr>
      </w:pPr>
    </w:p>
    <w:p w:rsidR="00701552" w:rsidRDefault="00701552" w:rsidP="00701552">
      <w:pPr>
        <w:spacing w:line="360" w:lineRule="auto"/>
        <w:jc w:val="center"/>
        <w:rPr>
          <w:b/>
          <w:sz w:val="24"/>
        </w:rPr>
      </w:pPr>
      <w:r>
        <w:rPr>
          <w:b/>
          <w:sz w:val="24"/>
        </w:rPr>
        <w:t>Im Namen des Volkes</w:t>
      </w:r>
    </w:p>
    <w:p w:rsidR="00701552" w:rsidRDefault="00701552" w:rsidP="00701552">
      <w:pPr>
        <w:spacing w:line="360" w:lineRule="auto"/>
        <w:jc w:val="center"/>
        <w:rPr>
          <w:caps/>
          <w:sz w:val="24"/>
        </w:rPr>
      </w:pPr>
    </w:p>
    <w:p w:rsidR="00701552" w:rsidRDefault="00701552" w:rsidP="00F25D6E">
      <w:pPr>
        <w:pStyle w:val="berschrift1"/>
        <w:keepNext w:val="0"/>
        <w:numPr>
          <w:ilvl w:val="0"/>
          <w:numId w:val="0"/>
        </w:numPr>
      </w:pPr>
      <w:r>
        <w:t>Urteil</w:t>
      </w:r>
    </w:p>
    <w:p w:rsidR="00701552" w:rsidRDefault="00701552" w:rsidP="00701552">
      <w:pPr>
        <w:spacing w:line="360" w:lineRule="auto"/>
        <w:jc w:val="center"/>
        <w:rPr>
          <w:b/>
          <w:sz w:val="24"/>
        </w:rPr>
      </w:pPr>
      <w:bookmarkStart w:id="0" w:name="i_sondersenat_"/>
      <w:bookmarkEnd w:id="0"/>
    </w:p>
    <w:p w:rsidR="00701552" w:rsidRDefault="00701552" w:rsidP="00701552">
      <w:pPr>
        <w:jc w:val="center"/>
        <w:rPr>
          <w:sz w:val="24"/>
        </w:rPr>
      </w:pPr>
      <w:r>
        <w:rPr>
          <w:sz w:val="24"/>
        </w:rPr>
        <w:t>In der Verwaltungsrechtssache</w:t>
      </w:r>
    </w:p>
    <w:p w:rsidR="00701552" w:rsidRDefault="00701552" w:rsidP="00701552">
      <w:pPr>
        <w:rPr>
          <w:sz w:val="24"/>
        </w:rPr>
      </w:pPr>
    </w:p>
    <w:p w:rsidR="00701552" w:rsidRDefault="00701552" w:rsidP="00701552">
      <w:pPr>
        <w:rPr>
          <w:sz w:val="24"/>
        </w:rPr>
      </w:pPr>
    </w:p>
    <w:p w:rsidR="00701552" w:rsidRDefault="00701552" w:rsidP="00701552">
      <w:pPr>
        <w:rPr>
          <w:sz w:val="24"/>
        </w:rPr>
      </w:pPr>
    </w:p>
    <w:p w:rsidR="00701552" w:rsidRDefault="00701552" w:rsidP="00701552">
      <w:pPr>
        <w:ind w:left="720"/>
        <w:rPr>
          <w:sz w:val="24"/>
        </w:rPr>
      </w:pPr>
      <w:bookmarkStart w:id="1" w:name="kläger_liste_"/>
      <w:bookmarkEnd w:id="1"/>
      <w:r>
        <w:rPr>
          <w:sz w:val="24"/>
        </w:rPr>
        <w:t>des Herrn</w:t>
      </w:r>
    </w:p>
    <w:p w:rsidR="00701552" w:rsidRDefault="00701552" w:rsidP="00701552">
      <w:pPr>
        <w:ind w:left="720"/>
        <w:rPr>
          <w:sz w:val="24"/>
        </w:rPr>
      </w:pPr>
    </w:p>
    <w:p w:rsidR="00701552" w:rsidRDefault="00701552" w:rsidP="00701552">
      <w:pPr>
        <w:tabs>
          <w:tab w:val="left" w:pos="0"/>
        </w:tabs>
        <w:ind w:left="720"/>
        <w:rPr>
          <w:sz w:val="24"/>
        </w:rPr>
      </w:pPr>
    </w:p>
    <w:p w:rsidR="00701552" w:rsidRDefault="00701552" w:rsidP="00701552">
      <w:pPr>
        <w:tabs>
          <w:tab w:val="left" w:pos="5387"/>
        </w:tabs>
        <w:ind w:left="720"/>
        <w:rPr>
          <w:sz w:val="24"/>
        </w:rPr>
      </w:pPr>
      <w:r>
        <w:rPr>
          <w:sz w:val="24"/>
        </w:rPr>
        <w:tab/>
        <w:t xml:space="preserve">- </w:t>
      </w:r>
      <w:bookmarkStart w:id="2" w:name="kläger_bezeichnung_nominativ_"/>
      <w:bookmarkEnd w:id="2"/>
      <w:r>
        <w:rPr>
          <w:sz w:val="24"/>
        </w:rPr>
        <w:t>Kläger -</w:t>
      </w:r>
    </w:p>
    <w:p w:rsidR="00701552" w:rsidRDefault="00701552" w:rsidP="00701552">
      <w:pPr>
        <w:tabs>
          <w:tab w:val="left" w:pos="5387"/>
        </w:tabs>
        <w:ind w:left="720"/>
        <w:rPr>
          <w:sz w:val="24"/>
        </w:rPr>
      </w:pPr>
      <w:r>
        <w:rPr>
          <w:sz w:val="24"/>
        </w:rPr>
        <w:tab/>
      </w:r>
      <w:bookmarkStart w:id="3" w:name="i_kläger_bezeichnung_jetzt_"/>
      <w:bookmarkEnd w:id="3"/>
      <w:r>
        <w:rPr>
          <w:sz w:val="24"/>
        </w:rPr>
        <w:t>- Berufungskläger -</w:t>
      </w:r>
    </w:p>
    <w:p w:rsidR="00701552" w:rsidRDefault="00701552" w:rsidP="00701552">
      <w:pPr>
        <w:tabs>
          <w:tab w:val="center" w:pos="4820"/>
        </w:tabs>
        <w:ind w:left="720"/>
        <w:rPr>
          <w:sz w:val="24"/>
        </w:rPr>
      </w:pPr>
      <w:bookmarkStart w:id="4" w:name="kläger_prozbev_2"/>
      <w:bookmarkEnd w:id="4"/>
    </w:p>
    <w:p w:rsidR="00701552" w:rsidRDefault="00701552" w:rsidP="00701552">
      <w:pPr>
        <w:tabs>
          <w:tab w:val="center" w:pos="4820"/>
        </w:tabs>
        <w:ind w:left="720"/>
        <w:rPr>
          <w:sz w:val="24"/>
        </w:rPr>
      </w:pPr>
      <w:r>
        <w:rPr>
          <w:sz w:val="24"/>
        </w:rPr>
        <w:t>prozessbevollmächtigt:</w:t>
      </w:r>
    </w:p>
    <w:p w:rsidR="00701552" w:rsidRPr="001C2775" w:rsidRDefault="00701552" w:rsidP="00701552">
      <w:pPr>
        <w:tabs>
          <w:tab w:val="center" w:pos="4820"/>
        </w:tabs>
        <w:ind w:left="720"/>
        <w:rPr>
          <w:sz w:val="24"/>
        </w:rPr>
      </w:pPr>
    </w:p>
    <w:p w:rsidR="00701552" w:rsidRDefault="00701552" w:rsidP="00701552">
      <w:pPr>
        <w:tabs>
          <w:tab w:val="center" w:pos="4820"/>
        </w:tabs>
        <w:ind w:left="720"/>
        <w:rPr>
          <w:sz w:val="24"/>
        </w:rPr>
      </w:pPr>
      <w:bookmarkStart w:id="5" w:name="kläger_zustellbev_"/>
      <w:bookmarkEnd w:id="5"/>
    </w:p>
    <w:p w:rsidR="00701552" w:rsidRDefault="00701552" w:rsidP="00701552">
      <w:pPr>
        <w:tabs>
          <w:tab w:val="center" w:pos="4820"/>
        </w:tabs>
        <w:ind w:left="720"/>
        <w:rPr>
          <w:sz w:val="24"/>
        </w:rPr>
      </w:pPr>
    </w:p>
    <w:p w:rsidR="00701552" w:rsidRDefault="00701552" w:rsidP="00701552">
      <w:pPr>
        <w:tabs>
          <w:tab w:val="center" w:pos="4820"/>
        </w:tabs>
        <w:jc w:val="center"/>
        <w:rPr>
          <w:sz w:val="24"/>
        </w:rPr>
      </w:pPr>
      <w:r>
        <w:rPr>
          <w:sz w:val="24"/>
        </w:rPr>
        <w:t>gegen</w:t>
      </w:r>
    </w:p>
    <w:p w:rsidR="00701552" w:rsidRDefault="00701552" w:rsidP="00701552">
      <w:pPr>
        <w:widowControl w:val="0"/>
        <w:rPr>
          <w:sz w:val="24"/>
        </w:rPr>
      </w:pPr>
    </w:p>
    <w:p w:rsidR="00701552" w:rsidRDefault="00701552" w:rsidP="00701552">
      <w:pPr>
        <w:widowControl w:val="0"/>
        <w:ind w:left="720"/>
        <w:rPr>
          <w:sz w:val="24"/>
        </w:rPr>
      </w:pPr>
    </w:p>
    <w:p w:rsidR="00701552" w:rsidRDefault="00701552" w:rsidP="00701552">
      <w:pPr>
        <w:keepLines/>
        <w:ind w:left="720"/>
        <w:rPr>
          <w:sz w:val="24"/>
        </w:rPr>
      </w:pPr>
      <w:bookmarkStart w:id="6" w:name="beklagter_liste_"/>
      <w:bookmarkEnd w:id="6"/>
      <w:r>
        <w:rPr>
          <w:sz w:val="24"/>
        </w:rPr>
        <w:t>1. den Freistaat Sachsen</w:t>
      </w:r>
    </w:p>
    <w:p w:rsidR="00701552" w:rsidRDefault="00701552" w:rsidP="00701552">
      <w:pPr>
        <w:keepLines/>
        <w:ind w:left="720"/>
        <w:rPr>
          <w:sz w:val="24"/>
        </w:rPr>
      </w:pPr>
      <w:r>
        <w:rPr>
          <w:sz w:val="24"/>
        </w:rPr>
        <w:t>vertreten durch das Sächsische Staatsministerium für Wissenschaft und Kunst</w:t>
      </w:r>
    </w:p>
    <w:p w:rsidR="00701552" w:rsidRDefault="00701552" w:rsidP="00701552">
      <w:pPr>
        <w:keepLines/>
        <w:ind w:left="720"/>
        <w:rPr>
          <w:sz w:val="24"/>
        </w:rPr>
      </w:pPr>
      <w:proofErr w:type="spellStart"/>
      <w:r>
        <w:rPr>
          <w:sz w:val="24"/>
        </w:rPr>
        <w:t>Wiga</w:t>
      </w:r>
      <w:r>
        <w:rPr>
          <w:sz w:val="24"/>
        </w:rPr>
        <w:t>r</w:t>
      </w:r>
      <w:r>
        <w:rPr>
          <w:sz w:val="24"/>
        </w:rPr>
        <w:t>dstraße</w:t>
      </w:r>
      <w:proofErr w:type="spellEnd"/>
      <w:r>
        <w:rPr>
          <w:sz w:val="24"/>
        </w:rPr>
        <w:t> 17, 01097 Dresden</w:t>
      </w:r>
    </w:p>
    <w:p w:rsidR="00701552" w:rsidRDefault="00701552" w:rsidP="00701552">
      <w:pPr>
        <w:keepLines/>
        <w:ind w:left="720"/>
        <w:rPr>
          <w:sz w:val="24"/>
        </w:rPr>
      </w:pPr>
    </w:p>
    <w:p w:rsidR="00701552" w:rsidRDefault="00701552" w:rsidP="00701552">
      <w:pPr>
        <w:keepLines/>
        <w:ind w:left="720"/>
        <w:rPr>
          <w:sz w:val="24"/>
        </w:rPr>
      </w:pPr>
      <w:r>
        <w:rPr>
          <w:sz w:val="24"/>
        </w:rPr>
        <w:t>2. die Westsächsische Hochschule (FH)</w:t>
      </w:r>
    </w:p>
    <w:p w:rsidR="00701552" w:rsidRDefault="00701552" w:rsidP="00701552">
      <w:pPr>
        <w:keepLines/>
        <w:ind w:left="720"/>
        <w:rPr>
          <w:sz w:val="24"/>
        </w:rPr>
      </w:pPr>
      <w:r>
        <w:rPr>
          <w:sz w:val="24"/>
        </w:rPr>
        <w:t>vertreten durch den Rektor</w:t>
      </w:r>
    </w:p>
    <w:p w:rsidR="00701552" w:rsidRDefault="00701552" w:rsidP="00701552">
      <w:pPr>
        <w:keepLines/>
        <w:ind w:left="720"/>
        <w:rPr>
          <w:sz w:val="24"/>
        </w:rPr>
      </w:pPr>
    </w:p>
    <w:p w:rsidR="00701552" w:rsidRDefault="00701552" w:rsidP="00701552">
      <w:pPr>
        <w:keepLines/>
        <w:tabs>
          <w:tab w:val="left" w:pos="5387"/>
        </w:tabs>
        <w:ind w:left="720"/>
        <w:rPr>
          <w:sz w:val="24"/>
        </w:rPr>
      </w:pPr>
    </w:p>
    <w:p w:rsidR="00701552" w:rsidRDefault="00701552" w:rsidP="00701552">
      <w:pPr>
        <w:keepLines/>
        <w:tabs>
          <w:tab w:val="left" w:pos="5387"/>
        </w:tabs>
        <w:ind w:left="720"/>
        <w:rPr>
          <w:sz w:val="24"/>
        </w:rPr>
      </w:pPr>
      <w:r>
        <w:rPr>
          <w:sz w:val="24"/>
        </w:rPr>
        <w:tab/>
        <w:t xml:space="preserve">- </w:t>
      </w:r>
      <w:bookmarkStart w:id="7" w:name="beklagter_bezeichnung_nominativ_"/>
      <w:bookmarkEnd w:id="7"/>
      <w:r>
        <w:rPr>
          <w:sz w:val="24"/>
        </w:rPr>
        <w:t>Beklagte -</w:t>
      </w:r>
    </w:p>
    <w:p w:rsidR="00701552" w:rsidRDefault="00701552" w:rsidP="00701552">
      <w:pPr>
        <w:keepLines/>
        <w:tabs>
          <w:tab w:val="left" w:pos="5387"/>
        </w:tabs>
        <w:ind w:left="720"/>
        <w:rPr>
          <w:sz w:val="24"/>
        </w:rPr>
      </w:pPr>
      <w:r>
        <w:rPr>
          <w:sz w:val="24"/>
        </w:rPr>
        <w:tab/>
      </w:r>
      <w:bookmarkStart w:id="8" w:name="i_beklagter_bezeichnung_jetzt_"/>
      <w:bookmarkEnd w:id="8"/>
      <w:r>
        <w:rPr>
          <w:sz w:val="24"/>
        </w:rPr>
        <w:t>- Berufungsbeklagte -</w:t>
      </w:r>
    </w:p>
    <w:p w:rsidR="00701552" w:rsidRDefault="00701552" w:rsidP="00701552">
      <w:pPr>
        <w:widowControl w:val="0"/>
        <w:tabs>
          <w:tab w:val="left" w:pos="7371"/>
        </w:tabs>
        <w:ind w:left="720"/>
        <w:rPr>
          <w:sz w:val="24"/>
        </w:rPr>
      </w:pPr>
      <w:bookmarkStart w:id="9" w:name="beklagter_prozbev_2"/>
      <w:bookmarkEnd w:id="9"/>
    </w:p>
    <w:p w:rsidR="00701552" w:rsidRDefault="00701552" w:rsidP="00701552">
      <w:pPr>
        <w:widowControl w:val="0"/>
        <w:tabs>
          <w:tab w:val="left" w:pos="7371"/>
        </w:tabs>
        <w:ind w:left="720"/>
        <w:rPr>
          <w:sz w:val="24"/>
        </w:rPr>
      </w:pPr>
      <w:r>
        <w:rPr>
          <w:sz w:val="24"/>
        </w:rPr>
        <w:t>prozessbevollmächtigt zu 2.:</w:t>
      </w:r>
    </w:p>
    <w:p w:rsidR="00701552" w:rsidRDefault="00701552" w:rsidP="00701552">
      <w:pPr>
        <w:widowControl w:val="0"/>
        <w:tabs>
          <w:tab w:val="left" w:pos="7371"/>
        </w:tabs>
        <w:ind w:left="720"/>
        <w:rPr>
          <w:sz w:val="24"/>
        </w:rPr>
      </w:pPr>
    </w:p>
    <w:p w:rsidR="00701552" w:rsidRDefault="00701552" w:rsidP="00701552">
      <w:pPr>
        <w:keepLines/>
        <w:ind w:left="720"/>
        <w:rPr>
          <w:sz w:val="24"/>
        </w:rPr>
        <w:sectPr w:rsidR="00701552" w:rsidSect="00AC7386">
          <w:headerReference w:type="even" r:id="rId8"/>
          <w:headerReference w:type="default" r:id="rId9"/>
          <w:footerReference w:type="even" r:id="rId10"/>
          <w:footerReference w:type="default" r:id="rId11"/>
          <w:headerReference w:type="first" r:id="rId12"/>
          <w:footerReference w:type="first" r:id="rId13"/>
          <w:pgSz w:w="11907" w:h="16840" w:code="9"/>
          <w:pgMar w:top="624" w:right="1417" w:bottom="1417" w:left="1417" w:header="57" w:footer="283" w:gutter="0"/>
          <w:pgNumType w:start="1"/>
          <w:cols w:space="720"/>
          <w:titlePg/>
          <w:docGrid w:linePitch="272"/>
        </w:sectPr>
      </w:pPr>
      <w:bookmarkStart w:id="12" w:name="beklagter_zustellbev_"/>
      <w:bookmarkEnd w:id="12"/>
    </w:p>
    <w:p w:rsidR="00701552" w:rsidRDefault="00701552" w:rsidP="00701552">
      <w:pPr>
        <w:keepLines/>
        <w:ind w:left="720"/>
        <w:rPr>
          <w:noProof/>
          <w:sz w:val="24"/>
        </w:rPr>
      </w:pPr>
      <w:r>
        <w:rPr>
          <w:noProof/>
          <w:sz w:val="24"/>
        </w:rPr>
        <w:lastRenderedPageBreak/>
        <w:t>beig</w:t>
      </w:r>
      <w:r>
        <w:rPr>
          <w:noProof/>
          <w:sz w:val="24"/>
        </w:rPr>
        <w:t>e</w:t>
      </w:r>
      <w:r>
        <w:rPr>
          <w:noProof/>
          <w:sz w:val="24"/>
        </w:rPr>
        <w:t>laden:</w:t>
      </w:r>
    </w:p>
    <w:p w:rsidR="00701552" w:rsidRDefault="00701552" w:rsidP="00701552">
      <w:pPr>
        <w:ind w:left="720" w:right="2750"/>
        <w:rPr>
          <w:noProof/>
          <w:sz w:val="24"/>
        </w:rPr>
      </w:pPr>
    </w:p>
    <w:p w:rsidR="00701552" w:rsidRDefault="00701552" w:rsidP="00701552">
      <w:pPr>
        <w:ind w:left="720"/>
        <w:rPr>
          <w:sz w:val="24"/>
        </w:rPr>
      </w:pPr>
      <w:bookmarkStart w:id="13" w:name="beigeladen_prozbev_2"/>
      <w:bookmarkEnd w:id="13"/>
    </w:p>
    <w:p w:rsidR="00701552" w:rsidRDefault="00701552" w:rsidP="00701552">
      <w:pPr>
        <w:ind w:left="720"/>
        <w:rPr>
          <w:sz w:val="24"/>
        </w:rPr>
      </w:pPr>
      <w:r>
        <w:rPr>
          <w:sz w:val="24"/>
        </w:rPr>
        <w:t>prozessbevollmächtigt:</w:t>
      </w:r>
    </w:p>
    <w:p w:rsidR="00701552" w:rsidRDefault="00701552" w:rsidP="00701552">
      <w:pPr>
        <w:ind w:left="720"/>
        <w:rPr>
          <w:sz w:val="24"/>
        </w:rPr>
      </w:pPr>
    </w:p>
    <w:p w:rsidR="00701552" w:rsidRDefault="00701552" w:rsidP="00701552">
      <w:pPr>
        <w:ind w:left="720"/>
        <w:rPr>
          <w:sz w:val="24"/>
        </w:rPr>
      </w:pPr>
    </w:p>
    <w:p w:rsidR="00701552" w:rsidRDefault="00701552" w:rsidP="00701552">
      <w:pPr>
        <w:keepLines/>
        <w:ind w:left="720"/>
        <w:rPr>
          <w:sz w:val="24"/>
        </w:rPr>
      </w:pPr>
      <w:bookmarkStart w:id="14" w:name="beigeladen_zustellbev_"/>
      <w:bookmarkEnd w:id="14"/>
    </w:p>
    <w:p w:rsidR="00701552" w:rsidRDefault="00701552" w:rsidP="00701552">
      <w:pPr>
        <w:tabs>
          <w:tab w:val="center" w:pos="4820"/>
        </w:tabs>
        <w:jc w:val="center"/>
        <w:rPr>
          <w:sz w:val="24"/>
        </w:rPr>
      </w:pPr>
      <w:r>
        <w:rPr>
          <w:sz w:val="24"/>
        </w:rPr>
        <w:t>wegen</w:t>
      </w:r>
    </w:p>
    <w:p w:rsidR="00701552" w:rsidRDefault="00701552" w:rsidP="00701552">
      <w:pPr>
        <w:ind w:left="720"/>
        <w:rPr>
          <w:sz w:val="24"/>
        </w:rPr>
      </w:pPr>
    </w:p>
    <w:p w:rsidR="00701552" w:rsidRDefault="00701552" w:rsidP="00701552">
      <w:pPr>
        <w:tabs>
          <w:tab w:val="left" w:pos="0"/>
        </w:tabs>
        <w:ind w:left="720"/>
        <w:rPr>
          <w:sz w:val="24"/>
        </w:rPr>
      </w:pPr>
      <w:bookmarkStart w:id="15" w:name="sachgebiet_"/>
      <w:bookmarkEnd w:id="15"/>
      <w:r>
        <w:rPr>
          <w:sz w:val="24"/>
        </w:rPr>
        <w:t>Recht der Landesbeamten (</w:t>
      </w:r>
      <w:proofErr w:type="spellStart"/>
      <w:r>
        <w:rPr>
          <w:sz w:val="24"/>
        </w:rPr>
        <w:t>Konkurrentenstreit</w:t>
      </w:r>
      <w:proofErr w:type="spellEnd"/>
      <w:r>
        <w:rPr>
          <w:sz w:val="24"/>
        </w:rPr>
        <w:t xml:space="preserve">) </w:t>
      </w:r>
    </w:p>
    <w:p w:rsidR="00701552" w:rsidRDefault="00701552" w:rsidP="00701552">
      <w:pPr>
        <w:tabs>
          <w:tab w:val="left" w:pos="0"/>
        </w:tabs>
        <w:ind w:left="720"/>
        <w:rPr>
          <w:sz w:val="24"/>
        </w:rPr>
      </w:pPr>
      <w:r>
        <w:rPr>
          <w:sz w:val="24"/>
        </w:rPr>
        <w:t>hier: Berufung</w:t>
      </w:r>
    </w:p>
    <w:p w:rsidR="00701552" w:rsidRDefault="00701552" w:rsidP="00701552">
      <w:pPr>
        <w:ind w:left="720"/>
        <w:jc w:val="both"/>
        <w:rPr>
          <w:sz w:val="24"/>
        </w:rPr>
      </w:pPr>
    </w:p>
    <w:p w:rsidR="00701552" w:rsidRDefault="00701552" w:rsidP="00701552">
      <w:pPr>
        <w:ind w:left="720"/>
        <w:jc w:val="both"/>
        <w:rPr>
          <w:sz w:val="24"/>
        </w:rPr>
      </w:pPr>
      <w:r>
        <w:rPr>
          <w:sz w:val="24"/>
        </w:rPr>
        <w:t xml:space="preserve">hat der </w:t>
      </w:r>
      <w:bookmarkStart w:id="16" w:name="spruchk_nummer_"/>
      <w:bookmarkEnd w:id="16"/>
      <w:r>
        <w:rPr>
          <w:sz w:val="24"/>
        </w:rPr>
        <w:t xml:space="preserve">2. Senat des Sächsischen Oberverwaltungsgerichts durch </w:t>
      </w:r>
      <w:bookmarkStart w:id="17" w:name="i_besetzung_"/>
      <w:bookmarkEnd w:id="17"/>
      <w:r>
        <w:rPr>
          <w:sz w:val="24"/>
        </w:rPr>
        <w:t>den Vizepräsidenten des Oberverwaltungsgerichts Dr. Grünberg, die Richterin am Oberverwaltungsgericht Hahn und die Richterin am Oberverwaltungsgericht Dr. Henke aufgrund der mündl</w:t>
      </w:r>
      <w:r>
        <w:rPr>
          <w:sz w:val="24"/>
        </w:rPr>
        <w:t>i</w:t>
      </w:r>
      <w:r>
        <w:rPr>
          <w:sz w:val="24"/>
        </w:rPr>
        <w:t>chen Verhandlung</w:t>
      </w:r>
    </w:p>
    <w:p w:rsidR="00701552" w:rsidRDefault="00701552" w:rsidP="00701552">
      <w:pPr>
        <w:ind w:left="720"/>
        <w:rPr>
          <w:sz w:val="24"/>
        </w:rPr>
      </w:pPr>
    </w:p>
    <w:p w:rsidR="00701552" w:rsidRDefault="00701552" w:rsidP="00701552">
      <w:pPr>
        <w:ind w:left="720"/>
        <w:rPr>
          <w:sz w:val="24"/>
        </w:rPr>
      </w:pPr>
      <w:r>
        <w:rPr>
          <w:sz w:val="24"/>
        </w:rPr>
        <w:t xml:space="preserve">vom </w:t>
      </w:r>
      <w:bookmarkStart w:id="18" w:name="i_urteil_datum_"/>
      <w:bookmarkEnd w:id="18"/>
      <w:r>
        <w:rPr>
          <w:sz w:val="24"/>
        </w:rPr>
        <w:t>11. November 2014</w:t>
      </w:r>
    </w:p>
    <w:p w:rsidR="00701552" w:rsidRDefault="00701552" w:rsidP="00701552">
      <w:pPr>
        <w:ind w:left="720"/>
        <w:rPr>
          <w:sz w:val="24"/>
        </w:rPr>
      </w:pPr>
    </w:p>
    <w:p w:rsidR="00701552" w:rsidRDefault="00701552" w:rsidP="00701552">
      <w:pPr>
        <w:ind w:left="720"/>
        <w:rPr>
          <w:sz w:val="24"/>
        </w:rPr>
      </w:pPr>
    </w:p>
    <w:p w:rsidR="00701552" w:rsidRDefault="00701552" w:rsidP="00701552">
      <w:pPr>
        <w:jc w:val="center"/>
        <w:rPr>
          <w:b/>
          <w:sz w:val="24"/>
        </w:rPr>
      </w:pPr>
      <w:r>
        <w:rPr>
          <w:b/>
          <w:sz w:val="24"/>
        </w:rPr>
        <w:t>für Recht erkannt:</w:t>
      </w:r>
    </w:p>
    <w:p w:rsidR="00701552" w:rsidRDefault="00701552" w:rsidP="00701552">
      <w:pPr>
        <w:ind w:left="720"/>
        <w:jc w:val="both"/>
        <w:rPr>
          <w:b/>
          <w:sz w:val="24"/>
        </w:rPr>
      </w:pPr>
    </w:p>
    <w:p w:rsidR="00701552" w:rsidRDefault="00701552" w:rsidP="00701552">
      <w:pPr>
        <w:ind w:left="720"/>
        <w:jc w:val="both"/>
        <w:rPr>
          <w:sz w:val="24"/>
        </w:rPr>
      </w:pPr>
      <w:r>
        <w:rPr>
          <w:sz w:val="24"/>
        </w:rPr>
        <w:t>Auf die Berufung des Klägers wird das Urteil des Verwaltungsgerichts Chemnitz vom 2. September 2011 - 3 K 499/10 - geändert.</w:t>
      </w:r>
    </w:p>
    <w:p w:rsidR="00701552" w:rsidRDefault="00701552" w:rsidP="00701552">
      <w:pPr>
        <w:ind w:left="720"/>
        <w:jc w:val="both"/>
        <w:rPr>
          <w:sz w:val="24"/>
        </w:rPr>
      </w:pPr>
    </w:p>
    <w:p w:rsidR="00701552" w:rsidRDefault="00701552" w:rsidP="00701552">
      <w:pPr>
        <w:ind w:left="720"/>
        <w:jc w:val="both"/>
        <w:rPr>
          <w:sz w:val="24"/>
        </w:rPr>
      </w:pPr>
      <w:r>
        <w:rPr>
          <w:sz w:val="24"/>
        </w:rPr>
        <w:t>Es wird festgestellt, dass der Wahlvorschlag des Hochschulrats der Beklagten zu 2 vom 4. März 2010 rechtswidrig war.</w:t>
      </w:r>
    </w:p>
    <w:p w:rsidR="00701552" w:rsidRDefault="00701552" w:rsidP="00701552">
      <w:pPr>
        <w:ind w:left="720"/>
        <w:jc w:val="both"/>
        <w:rPr>
          <w:sz w:val="24"/>
        </w:rPr>
      </w:pPr>
    </w:p>
    <w:p w:rsidR="00701552" w:rsidRDefault="00701552" w:rsidP="00701552">
      <w:pPr>
        <w:ind w:left="720"/>
        <w:jc w:val="both"/>
        <w:rPr>
          <w:sz w:val="24"/>
        </w:rPr>
      </w:pPr>
      <w:r>
        <w:rPr>
          <w:sz w:val="24"/>
        </w:rPr>
        <w:t>Im Übrigen wird die Klage abgewiesen und die Berufung zurückgewiesen.</w:t>
      </w:r>
    </w:p>
    <w:p w:rsidR="00701552" w:rsidRDefault="00701552" w:rsidP="00701552">
      <w:pPr>
        <w:ind w:left="720"/>
        <w:jc w:val="both"/>
        <w:rPr>
          <w:sz w:val="24"/>
        </w:rPr>
      </w:pPr>
    </w:p>
    <w:p w:rsidR="00701552" w:rsidRDefault="00701552" w:rsidP="00701552">
      <w:pPr>
        <w:ind w:left="720"/>
        <w:jc w:val="both"/>
        <w:rPr>
          <w:sz w:val="24"/>
        </w:rPr>
      </w:pPr>
      <w:r>
        <w:rPr>
          <w:sz w:val="24"/>
        </w:rPr>
        <w:t>Der Kläger trägt die außergerichtlichen Kosten des Beklagten zu 1 in beiden Recht</w:t>
      </w:r>
      <w:r>
        <w:rPr>
          <w:sz w:val="24"/>
        </w:rPr>
        <w:t>s</w:t>
      </w:r>
      <w:r>
        <w:rPr>
          <w:sz w:val="24"/>
        </w:rPr>
        <w:t>zügen. Der Kläger und die Beklagte zu 2 tragen ihre außergerichtlichen Kosten in be</w:t>
      </w:r>
      <w:r>
        <w:rPr>
          <w:sz w:val="24"/>
        </w:rPr>
        <w:t>i</w:t>
      </w:r>
      <w:r>
        <w:rPr>
          <w:sz w:val="24"/>
        </w:rPr>
        <w:t>den Rechtszügen jeweils selbst. Von den Gerichtskosten in beiden Rechtszügen trägt der Kläger ¾ und die Beklagte zu 2 ¼. Der Beigeladene trägt seine außergerichtl</w:t>
      </w:r>
      <w:r>
        <w:rPr>
          <w:sz w:val="24"/>
        </w:rPr>
        <w:t>i</w:t>
      </w:r>
      <w:r>
        <w:rPr>
          <w:sz w:val="24"/>
        </w:rPr>
        <w:t>chen Kosten in beiden Rechtszügen selbst.</w:t>
      </w:r>
    </w:p>
    <w:p w:rsidR="00701552" w:rsidRDefault="00701552" w:rsidP="00701552">
      <w:pPr>
        <w:ind w:left="720"/>
        <w:jc w:val="both"/>
        <w:rPr>
          <w:sz w:val="24"/>
        </w:rPr>
      </w:pPr>
    </w:p>
    <w:p w:rsidR="00701552" w:rsidRDefault="00701552" w:rsidP="00701552">
      <w:pPr>
        <w:ind w:left="720"/>
        <w:jc w:val="both"/>
        <w:rPr>
          <w:sz w:val="24"/>
        </w:rPr>
      </w:pPr>
      <w:r>
        <w:rPr>
          <w:sz w:val="24"/>
        </w:rPr>
        <w:t>Die Revision wird nicht zugelassen.</w:t>
      </w:r>
    </w:p>
    <w:p w:rsidR="00701552" w:rsidRDefault="00701552" w:rsidP="00701552">
      <w:pPr>
        <w:spacing w:before="840" w:after="240"/>
        <w:ind w:left="720"/>
        <w:jc w:val="center"/>
        <w:rPr>
          <w:b/>
          <w:sz w:val="24"/>
          <w:szCs w:val="24"/>
        </w:rPr>
      </w:pPr>
      <w:r>
        <w:rPr>
          <w:b/>
          <w:sz w:val="24"/>
          <w:szCs w:val="24"/>
        </w:rPr>
        <w:t>Tatbestand</w:t>
      </w:r>
    </w:p>
    <w:p w:rsidR="00701552" w:rsidRPr="00D34267" w:rsidRDefault="00701552" w:rsidP="00701552">
      <w:pPr>
        <w:spacing w:before="360" w:line="360" w:lineRule="auto"/>
        <w:ind w:left="720"/>
        <w:jc w:val="both"/>
        <w:rPr>
          <w:i/>
          <w:sz w:val="24"/>
        </w:rPr>
      </w:pPr>
      <w:r>
        <w:rPr>
          <w:noProof/>
          <w:sz w:val="24"/>
        </w:rPr>
        <mc:AlternateContent>
          <mc:Choice Requires="wps">
            <w:drawing>
              <wp:anchor distT="0" distB="0" distL="114300" distR="114300" simplePos="0" relativeHeight="251659264" behindDoc="0" locked="0" layoutInCell="1" allowOverlap="1" wp14:anchorId="42083B6F" wp14:editId="50DCFBA6">
                <wp:simplePos x="0" y="0"/>
                <wp:positionH relativeFrom="column">
                  <wp:posOffset>-6985</wp:posOffset>
                </wp:positionH>
                <wp:positionV relativeFrom="paragraph">
                  <wp:posOffset>107315</wp:posOffset>
                </wp:positionV>
                <wp:extent cx="269875" cy="300990"/>
                <wp:effectExtent l="0" t="0" r="0" b="0"/>
                <wp:wrapNone/>
                <wp:docPr id="46" name="Textfeld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300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46" o:spid="_x0000_s1026" type="#_x0000_t202" style="position:absolute;left:0;text-align:left;margin-left:-.55pt;margin-top:8.45pt;width:21.25pt;height:2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" stroked="f">
                <v:textbox inset="0,0,0,0">
                  <w:txbxContent>
                    <w:p w:rsidR="00701552" w:rsidRDefault="00701552" w:rsidP="00701552">
                      <w:r>
                        <w:fldChar w:fldCharType="begin"/>
                      </w:r>
                      <w:r>
                        <w:instrText xml:space="preserve"> SEQ \a </w:instrText>
                      </w:r>
                      <w:r>
                        <w:fldChar w:fldCharType="separate"/>
                      </w:r>
                      <w:r>
                        <w:rPr>
                          <w:noProof/>
                        </w:rPr>
                        <w:t>1</w:t>
                      </w:r>
                      <w:r>
                        <w:fldChar w:fldCharType="end"/>
                      </w:r>
                    </w:p>
                  </w:txbxContent>
                </v:textbox>
              </v:shape>
            </w:pict>
          </mc:Fallback>
        </mc:AlternateContent>
      </w:r>
      <w:r>
        <w:rPr>
          <w:sz w:val="24"/>
        </w:rPr>
        <w:t>Der Kläger begehrt mit seiner Klage (noch) die Feststellung, dass die Wahl des Beig</w:t>
      </w:r>
      <w:r>
        <w:rPr>
          <w:sz w:val="24"/>
        </w:rPr>
        <w:t>e</w:t>
      </w:r>
      <w:r>
        <w:rPr>
          <w:sz w:val="24"/>
        </w:rPr>
        <w:t>ladenen durch den erweiterten Senat bei der Beklagten zu 2 am 30. April 2010 recht</w:t>
      </w:r>
      <w:r>
        <w:rPr>
          <w:sz w:val="24"/>
        </w:rPr>
        <w:t>s</w:t>
      </w:r>
      <w:r>
        <w:rPr>
          <w:sz w:val="24"/>
        </w:rPr>
        <w:t xml:space="preserve">widrig war, ebenso wie der vorangegangene Wahlvorschlag des Hochschulrats im Einvernehmen mit dem Senat. </w:t>
      </w:r>
    </w:p>
    <w:p w:rsidR="00701552" w:rsidRDefault="00701552" w:rsidP="00701552">
      <w:pPr>
        <w:spacing w:before="360" w:line="360" w:lineRule="auto"/>
        <w:ind w:left="720"/>
        <w:jc w:val="both"/>
        <w:rPr>
          <w:sz w:val="24"/>
        </w:rPr>
      </w:pPr>
      <w:r>
        <w:rPr>
          <w:noProof/>
          <w:sz w:val="24"/>
        </w:rPr>
        <w:lastRenderedPageBreak/>
        <mc:AlternateContent>
          <mc:Choice Requires="wps">
            <w:drawing>
              <wp:anchor distT="0" distB="0" distL="114300" distR="114300" simplePos="0" relativeHeight="251660288" behindDoc="0" locked="0" layoutInCell="1" allowOverlap="1" wp14:anchorId="48AEDF7A" wp14:editId="77C032CB">
                <wp:simplePos x="0" y="0"/>
                <wp:positionH relativeFrom="column">
                  <wp:posOffset>-6985</wp:posOffset>
                </wp:positionH>
                <wp:positionV relativeFrom="paragraph">
                  <wp:posOffset>0</wp:posOffset>
                </wp:positionV>
                <wp:extent cx="269875" cy="179705"/>
                <wp:effectExtent l="0" t="4445" r="0" b="0"/>
                <wp:wrapNone/>
                <wp:docPr id="45" name="Textfeld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5" o:spid="_x0000_s1027" type="#_x0000_t202" style="position:absolute;left:0;text-align:left;margin-left:-.55pt;margin-top:0;width:21.2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" stroked="f">
                <v:textbox inset="0,0,0,0">
                  <w:txbxContent>
                    <w:p w:rsidR="00701552" w:rsidRDefault="00701552" w:rsidP="00701552">
                      <w:r>
                        <w:fldChar w:fldCharType="begin"/>
                      </w:r>
                      <w:r>
                        <w:instrText xml:space="preserve"> SEQ \a </w:instrText>
                      </w:r>
                      <w:r>
                        <w:fldChar w:fldCharType="separate"/>
                      </w:r>
                      <w:r>
                        <w:rPr>
                          <w:noProof/>
                        </w:rPr>
                        <w:t>2</w:t>
                      </w:r>
                      <w:r>
                        <w:fldChar w:fldCharType="end"/>
                      </w:r>
                    </w:p>
                  </w:txbxContent>
                </v:textbox>
              </v:shape>
            </w:pict>
          </mc:Fallback>
        </mc:AlternateContent>
      </w:r>
      <w:r>
        <w:rPr>
          <w:sz w:val="24"/>
        </w:rPr>
        <w:t>Der Kläger und der Beigeladene, beide Professoren an der Westsächsischen Hoc</w:t>
      </w:r>
      <w:r>
        <w:rPr>
          <w:sz w:val="24"/>
        </w:rPr>
        <w:t>h</w:t>
      </w:r>
      <w:r>
        <w:rPr>
          <w:sz w:val="24"/>
        </w:rPr>
        <w:t xml:space="preserve">schule </w:t>
      </w:r>
      <w:r w:rsidRPr="001B61EB">
        <w:rPr>
          <w:sz w:val="24"/>
        </w:rPr>
        <w:t>X......</w:t>
      </w:r>
      <w:r>
        <w:rPr>
          <w:sz w:val="24"/>
        </w:rPr>
        <w:t>, bewarben sich neben zwei weiteren Bewerbern um die Stelle des Rektors der Hochschule. Von den vier Bewerbern wählte die Auswahlkommission drei aus und schlug sie dem Hochschulrat vor. Der Hochschulrat lud die drei verbli</w:t>
      </w:r>
      <w:r>
        <w:rPr>
          <w:sz w:val="24"/>
        </w:rPr>
        <w:t>e</w:t>
      </w:r>
      <w:r>
        <w:rPr>
          <w:sz w:val="24"/>
        </w:rPr>
        <w:t>benen Bewerber am 4. März 2010 zu Einzelvorträgen und anschließender Diskussion ein. Nach dem gefertigten Protokoll der Sitzung folgte eine ausführliche Diskussion des Hochschulrates über die einzelnen Bewerber. Dabei habe sich herausg</w:t>
      </w:r>
      <w:r>
        <w:rPr>
          <w:sz w:val="24"/>
        </w:rPr>
        <w:t>e</w:t>
      </w:r>
      <w:r>
        <w:rPr>
          <w:sz w:val="24"/>
        </w:rPr>
        <w:t>stellt, dass die Vorträge und Antworten des Beigeladenen und des Klägers „inhaltlich am mei</w:t>
      </w:r>
      <w:r>
        <w:rPr>
          <w:sz w:val="24"/>
        </w:rPr>
        <w:t>s</w:t>
      </w:r>
      <w:r>
        <w:rPr>
          <w:sz w:val="24"/>
        </w:rPr>
        <w:t>ten überzeugten“. Der Hochschulrat beschloss anschließend einstimmig, dem Senat nur den Beigeladenen als Kandidaten für den gemeinsamen Wahlvorschlag vorz</w:t>
      </w:r>
      <w:r>
        <w:rPr>
          <w:sz w:val="24"/>
        </w:rPr>
        <w:t>u</w:t>
      </w:r>
      <w:r>
        <w:rPr>
          <w:sz w:val="24"/>
        </w:rPr>
        <w:t>schlagen. Dem stimmte der Senat am 31. März 2010 nach kontroverser Diskussion über das Auswahlprozedere mehrheitlich (12:6 Stimmen) zu. Der Kläger beanstandete diese Verfahrensweise hochschulintern im Wege der Rechtsaufsicht gegenüber dem Rektor sowie gegenüber dem Staatsministerium für Wissenschaft und Kunst (SMWK), j</w:t>
      </w:r>
      <w:r>
        <w:rPr>
          <w:sz w:val="24"/>
        </w:rPr>
        <w:t>e</w:t>
      </w:r>
      <w:r>
        <w:rPr>
          <w:sz w:val="24"/>
        </w:rPr>
        <w:t>weils ohne Erfolg.</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61312" behindDoc="0" locked="0" layoutInCell="1" allowOverlap="1" wp14:anchorId="23699008" wp14:editId="23C7472B">
                <wp:simplePos x="0" y="0"/>
                <wp:positionH relativeFrom="column">
                  <wp:posOffset>-6985</wp:posOffset>
                </wp:positionH>
                <wp:positionV relativeFrom="paragraph">
                  <wp:posOffset>228600</wp:posOffset>
                </wp:positionV>
                <wp:extent cx="269875" cy="179705"/>
                <wp:effectExtent l="0" t="3810" r="0" b="0"/>
                <wp:wrapNone/>
                <wp:docPr id="44" name="Textfeld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4" o:spid="_x0000_s1028" type="#_x0000_t202" style="position:absolute;left:0;text-align:left;margin-left:-.55pt;margin-top:18pt;width:21.2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y83fgIAAAc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TqsvN34CAAAH&#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3</w:t>
                      </w:r>
                      <w:r>
                        <w:fldChar w:fldCharType="end"/>
                      </w:r>
                    </w:p>
                  </w:txbxContent>
                </v:textbox>
              </v:shape>
            </w:pict>
          </mc:Fallback>
        </mc:AlternateContent>
      </w:r>
      <w:r>
        <w:rPr>
          <w:sz w:val="24"/>
        </w:rPr>
        <w:t>Am 27. April 2010 beantragte der Kläger beim Verwaltungsgericht Chemnitz vorlä</w:t>
      </w:r>
      <w:r>
        <w:rPr>
          <w:sz w:val="24"/>
        </w:rPr>
        <w:t>u</w:t>
      </w:r>
      <w:r>
        <w:rPr>
          <w:sz w:val="24"/>
        </w:rPr>
        <w:t>figen Rechtsschutz mit dem Ziel, die für den 30. April 2010 anberaumte Wahl durch den Erweiterten Senat ohne Einbeziehung des Klägers in den Wahlvorschlag vorläufig zu verhindern. Mit Beschluss vom 29. April 2010 (2 L 123/10) lehnte das Verwaltungsgericht Chemnitz den Eilantrag als "verfrüht" ab, da es dem Kläger z</w:t>
      </w:r>
      <w:r>
        <w:rPr>
          <w:sz w:val="24"/>
        </w:rPr>
        <w:t>u</w:t>
      </w:r>
      <w:r>
        <w:rPr>
          <w:sz w:val="24"/>
        </w:rPr>
        <w:t>mutbar sei, zunächst die Wahl abzuwarten und im Anschluss Eilrechtsschutz gegen die Ernennung des Gewählten zum Rektor zu suchen. Nach Unterbreitung des Vo</w:t>
      </w:r>
      <w:r>
        <w:rPr>
          <w:sz w:val="24"/>
        </w:rPr>
        <w:t>r</w:t>
      </w:r>
      <w:r>
        <w:rPr>
          <w:sz w:val="24"/>
        </w:rPr>
        <w:t>schlags wählte der Erweiterte Senat den Beigeladenen am 30. April 2010 in geheimer Wahl (30:7 Sti</w:t>
      </w:r>
      <w:r>
        <w:rPr>
          <w:sz w:val="24"/>
        </w:rPr>
        <w:t>m</w:t>
      </w:r>
      <w:r>
        <w:rPr>
          <w:sz w:val="24"/>
        </w:rPr>
        <w:t>men) zum Rektor. Mit Schreiben vom 11. Mai 2010 teilte das SMWK dem Kläger mit, dass beabsichtigt sei, den Beigeladenen zum Rektor zu ernennen. Hiergegen wandte sich der Kläger im Verfahren des vorläufigen Rechtsschutzes (3 L 161/10), das in er</w:t>
      </w:r>
      <w:r>
        <w:rPr>
          <w:sz w:val="24"/>
        </w:rPr>
        <w:t>s</w:t>
      </w:r>
      <w:r>
        <w:rPr>
          <w:sz w:val="24"/>
        </w:rPr>
        <w:t>ter Instanz erfolglos blieb (Beschluss des Verwaltungsgerichts Chemnitz vom 21. Juni 2010).</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62336" behindDoc="0" locked="0" layoutInCell="1" allowOverlap="1" wp14:anchorId="2F02024E" wp14:editId="7B1F4153">
                <wp:simplePos x="0" y="0"/>
                <wp:positionH relativeFrom="column">
                  <wp:posOffset>-6985</wp:posOffset>
                </wp:positionH>
                <wp:positionV relativeFrom="paragraph">
                  <wp:posOffset>228600</wp:posOffset>
                </wp:positionV>
                <wp:extent cx="269875" cy="179705"/>
                <wp:effectExtent l="0" t="1905" r="0" b="0"/>
                <wp:wrapNone/>
                <wp:docPr id="43" name="Textfeld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3" o:spid="_x0000_s1029" type="#_x0000_t202" style="position:absolute;left:0;text-align:left;margin-left:-.55pt;margin-top:18pt;width:21.2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gcazkn4CAAAH&#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4</w:t>
                      </w:r>
                      <w:r>
                        <w:fldChar w:fldCharType="end"/>
                      </w:r>
                    </w:p>
                  </w:txbxContent>
                </v:textbox>
              </v:shape>
            </w:pict>
          </mc:Fallback>
        </mc:AlternateContent>
      </w:r>
      <w:r>
        <w:rPr>
          <w:sz w:val="24"/>
        </w:rPr>
        <w:t>Zeitgleich mit Stellung des Eilantrags im Verfahre 3 L 161/10 erhob der Kläger am 24. Mai 2010 Klage gegen die Wahlentscheidung des Erweiterten Senats vom 30. April 2010 und gegen die Entscheidung des Beklagten zu 1, den Beigeladenen zum Re</w:t>
      </w:r>
      <w:r>
        <w:rPr>
          <w:sz w:val="24"/>
        </w:rPr>
        <w:t>k</w:t>
      </w:r>
      <w:r>
        <w:rPr>
          <w:sz w:val="24"/>
        </w:rPr>
        <w:t xml:space="preserve">tor bei der Beklagten zu 2 zu ernennen. </w:t>
      </w:r>
    </w:p>
    <w:p w:rsidR="00701552" w:rsidRDefault="00701552" w:rsidP="00701552">
      <w:pPr>
        <w:spacing w:before="360" w:line="360" w:lineRule="auto"/>
        <w:ind w:left="720"/>
        <w:jc w:val="both"/>
        <w:rPr>
          <w:sz w:val="24"/>
        </w:rPr>
      </w:pPr>
      <w:r>
        <w:rPr>
          <w:noProof/>
          <w:sz w:val="24"/>
        </w:rPr>
        <w:lastRenderedPageBreak/>
        <mc:AlternateContent>
          <mc:Choice Requires="wps">
            <w:drawing>
              <wp:anchor distT="0" distB="0" distL="114300" distR="114300" simplePos="0" relativeHeight="251663360" behindDoc="0" locked="0" layoutInCell="1" allowOverlap="1" wp14:anchorId="791A08EE" wp14:editId="76D5955C">
                <wp:simplePos x="0" y="0"/>
                <wp:positionH relativeFrom="column">
                  <wp:posOffset>-6985</wp:posOffset>
                </wp:positionH>
                <wp:positionV relativeFrom="paragraph">
                  <wp:posOffset>0</wp:posOffset>
                </wp:positionV>
                <wp:extent cx="269875" cy="179705"/>
                <wp:effectExtent l="0" t="4445" r="0" b="0"/>
                <wp:wrapNone/>
                <wp:docPr id="42" name="Textfeld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2" o:spid="_x0000_s1030" type="#_x0000_t202" style="position:absolute;left:0;text-align:left;margin-left:-.55pt;margin-top:0;width:21.2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3cIfQIAAAc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" stroked="f">
                <v:textbox inset="0,0,0,0">
                  <w:txbxContent>
                    <w:p w:rsidR="00701552" w:rsidRDefault="00701552" w:rsidP="00701552">
                      <w:r>
                        <w:fldChar w:fldCharType="begin"/>
                      </w:r>
                      <w:r>
                        <w:instrText xml:space="preserve"> SEQ \a </w:instrText>
                      </w:r>
                      <w:r>
                        <w:fldChar w:fldCharType="separate"/>
                      </w:r>
                      <w:r>
                        <w:rPr>
                          <w:noProof/>
                        </w:rPr>
                        <w:t>5</w:t>
                      </w:r>
                      <w:r>
                        <w:fldChar w:fldCharType="end"/>
                      </w:r>
                    </w:p>
                  </w:txbxContent>
                </v:textbox>
              </v:shape>
            </w:pict>
          </mc:Fallback>
        </mc:AlternateContent>
      </w:r>
      <w:r>
        <w:rPr>
          <w:sz w:val="24"/>
        </w:rPr>
        <w:t>Mit Beschluss vom 2. August 2010 (2 B 145/10) verwarf der erkennende Senat die gegen den ablehnenden Beschluss des Verwaltungsgerichts Chemnitz vom 29. April 2010 (2 L 123/10) eingelegte Beschwerde des Klägers mit der Begründung, die en</w:t>
      </w:r>
      <w:r>
        <w:rPr>
          <w:sz w:val="24"/>
        </w:rPr>
        <w:t>t</w:t>
      </w:r>
      <w:r>
        <w:rPr>
          <w:sz w:val="24"/>
        </w:rPr>
        <w:t>sprechenden Anträge seien in der Beschwerde nicht mehr zulässig weiterzuverfolgen, da sie sich mit der Wahl vom 30. April 2010 erledigt hä</w:t>
      </w:r>
      <w:r>
        <w:rPr>
          <w:sz w:val="24"/>
        </w:rPr>
        <w:t>t</w:t>
      </w:r>
      <w:r>
        <w:rPr>
          <w:sz w:val="24"/>
        </w:rPr>
        <w:t>ten.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64384" behindDoc="0" locked="0" layoutInCell="1" allowOverlap="1" wp14:anchorId="7ACFD0D8" wp14:editId="118BFA5D">
                <wp:simplePos x="0" y="0"/>
                <wp:positionH relativeFrom="column">
                  <wp:posOffset>-6985</wp:posOffset>
                </wp:positionH>
                <wp:positionV relativeFrom="paragraph">
                  <wp:posOffset>228600</wp:posOffset>
                </wp:positionV>
                <wp:extent cx="269875" cy="179705"/>
                <wp:effectExtent l="0" t="4445" r="0" b="0"/>
                <wp:wrapNone/>
                <wp:docPr id="41" name="Textfeld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1" o:spid="_x0000_s1031" type="#_x0000_t202" style="position:absolute;left:0;text-align:left;margin-left:-.55pt;margin-top:18pt;width:21.2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5PI68fQIAAAc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6</w:t>
                      </w:r>
                      <w:r>
                        <w:fldChar w:fldCharType="end"/>
                      </w:r>
                    </w:p>
                  </w:txbxContent>
                </v:textbox>
              </v:shape>
            </w:pict>
          </mc:Fallback>
        </mc:AlternateContent>
      </w:r>
      <w:r>
        <w:rPr>
          <w:sz w:val="24"/>
        </w:rPr>
        <w:t>Mit weiterem Beschluss vom 2. August 2010 (2 B 181/10) gab der Senat der B</w:t>
      </w:r>
      <w:r>
        <w:rPr>
          <w:sz w:val="24"/>
        </w:rPr>
        <w:t>e</w:t>
      </w:r>
      <w:r>
        <w:rPr>
          <w:sz w:val="24"/>
        </w:rPr>
        <w:t xml:space="preserve">schwerde im Verfahren 2 L 161/10 statt. Der Senat stellte in seinem Beschluss fest, dass sowohl die Entscheidung des Hochschulrates vom 4. März 2010 wie auch die </w:t>
      </w:r>
      <w:proofErr w:type="spellStart"/>
      <w:r>
        <w:rPr>
          <w:sz w:val="24"/>
        </w:rPr>
        <w:t>Einvernehmenserteilung</w:t>
      </w:r>
      <w:proofErr w:type="spellEnd"/>
      <w:r>
        <w:rPr>
          <w:sz w:val="24"/>
        </w:rPr>
        <w:t xml:space="preserve"> des Senats vom 31. März 2010 fehlerhaft seien und damit auch die in der Folge durchgeführte Wahl vom 30. April 2010 fehlerhaft und nichtig sei.</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65408" behindDoc="0" locked="0" layoutInCell="1" allowOverlap="1" wp14:anchorId="42107A0E" wp14:editId="0D2754BD">
                <wp:simplePos x="0" y="0"/>
                <wp:positionH relativeFrom="column">
                  <wp:posOffset>-6985</wp:posOffset>
                </wp:positionH>
                <wp:positionV relativeFrom="paragraph">
                  <wp:posOffset>228600</wp:posOffset>
                </wp:positionV>
                <wp:extent cx="269875" cy="179705"/>
                <wp:effectExtent l="0" t="635" r="0" b="635"/>
                <wp:wrapNone/>
                <wp:docPr id="40" name="Textfeld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0" o:spid="_x0000_s1032" type="#_x0000_t202" style="position:absolute;left:0;text-align:left;margin-left:-.55pt;margin-top:18pt;width:21.2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ZCrfgIAAAc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ZcGQq34CAAAH&#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7</w:t>
                      </w:r>
                      <w:r>
                        <w:fldChar w:fldCharType="end"/>
                      </w:r>
                    </w:p>
                  </w:txbxContent>
                </v:textbox>
              </v:shape>
            </w:pict>
          </mc:Fallback>
        </mc:AlternateContent>
      </w:r>
      <w:r>
        <w:rPr>
          <w:sz w:val="24"/>
        </w:rPr>
        <w:t>Der Beklagte zu 1 forderte die Beklagte zu 2 daraufhin auf, die Rektorenwahl unter Beachtung der Rechtsauffassung des Senats erneut durchzuführen. Der Senat der B</w:t>
      </w:r>
      <w:r>
        <w:rPr>
          <w:sz w:val="24"/>
        </w:rPr>
        <w:t>e</w:t>
      </w:r>
      <w:r>
        <w:rPr>
          <w:sz w:val="24"/>
        </w:rPr>
        <w:t>klagten zu 2 stimmte in seiner Sitzung am 20. Oktober 2010 der Aufhebung der Wah</w:t>
      </w:r>
      <w:r>
        <w:rPr>
          <w:sz w:val="24"/>
        </w:rPr>
        <w:t>l</w:t>
      </w:r>
      <w:r>
        <w:rPr>
          <w:sz w:val="24"/>
        </w:rPr>
        <w:t>entscheidung des Erweiterten Senats vom 30. April 2010 sowie der Wiederholung des Wahlvorgangs zu. Am 24. November 2010 einigte sich der Hochschulrat mit dem S</w:t>
      </w:r>
      <w:r>
        <w:rPr>
          <w:sz w:val="24"/>
        </w:rPr>
        <w:t>e</w:t>
      </w:r>
      <w:r>
        <w:rPr>
          <w:sz w:val="24"/>
        </w:rPr>
        <w:t>nat einvernehmlich auf einen neuen Wahlvorschlag, der neben dem Kläger und dem Beigeladenen eine weitere Bewerberin enthielt. In der Folge wurde am 19. Januar 2011 - erneut - der Beigeladene zum Rektor gewählt. Der Kläger wurde durch den B</w:t>
      </w:r>
      <w:r>
        <w:rPr>
          <w:sz w:val="24"/>
        </w:rPr>
        <w:t>e</w:t>
      </w:r>
      <w:r>
        <w:rPr>
          <w:sz w:val="24"/>
        </w:rPr>
        <w:t>klagten zu 1 über die bevorstehende Ernennung des Beigeladenen zum 1. März 2011 informiert. Der Kläger sah von der Inanspruchnahme gerichtlichen Rechtsschutzes ab, woraufhin der Beigeladene zum 1. März 2011 ernannt wurde.</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66432" behindDoc="0" locked="0" layoutInCell="1" allowOverlap="1" wp14:anchorId="38EA8E7C" wp14:editId="1968EAE3">
                <wp:simplePos x="0" y="0"/>
                <wp:positionH relativeFrom="column">
                  <wp:posOffset>-6985</wp:posOffset>
                </wp:positionH>
                <wp:positionV relativeFrom="paragraph">
                  <wp:posOffset>228600</wp:posOffset>
                </wp:positionV>
                <wp:extent cx="269875" cy="179705"/>
                <wp:effectExtent l="0" t="0" r="0" b="0"/>
                <wp:wrapNone/>
                <wp:docPr id="39" name="Textfeld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9" o:spid="_x0000_s1033" type="#_x0000_t202" style="position:absolute;left:0;text-align:left;margin-left:-.55pt;margin-top:18pt;width:21.2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m59TbH4CAAAH&#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8</w:t>
                      </w:r>
                      <w:r>
                        <w:fldChar w:fldCharType="end"/>
                      </w:r>
                    </w:p>
                  </w:txbxContent>
                </v:textbox>
              </v:shape>
            </w:pict>
          </mc:Fallback>
        </mc:AlternateContent>
      </w:r>
      <w:r>
        <w:rPr>
          <w:sz w:val="24"/>
        </w:rPr>
        <w:t>Der Kläger erklärte daraufhin seine Klage insoweit für erledigt, als Klageziel gewesen sei, die Ernennung des Beigeladenen zum Rektor aufgrund der Wahlentscheidung vom 30. April 2010 zu verhindern. Die Beklagten schlossen sich dem an. Der Kläger b</w:t>
      </w:r>
      <w:r>
        <w:rPr>
          <w:sz w:val="24"/>
        </w:rPr>
        <w:t>e</w:t>
      </w:r>
      <w:r>
        <w:rPr>
          <w:sz w:val="24"/>
        </w:rPr>
        <w:t xml:space="preserve">gehrte indessen weiter die Feststellung, dass die Wahl des Beigeladenen durch den Erweiterten Senat am 30. April 2010 sowie der Wahlvorschlag des Hochschulrates vom 4. März 2010 rechtswidrig gewesen seien. Er begründete das Interesse an der Feststellung mit dem Bestehen einer Wiederholungsgefahr sowie </w:t>
      </w:r>
      <w:r>
        <w:rPr>
          <w:sz w:val="24"/>
        </w:rPr>
        <w:lastRenderedPageBreak/>
        <w:t>Amtshaftungsa</w:t>
      </w:r>
      <w:r>
        <w:rPr>
          <w:sz w:val="24"/>
        </w:rPr>
        <w:t>n</w:t>
      </w:r>
      <w:r>
        <w:rPr>
          <w:sz w:val="24"/>
        </w:rPr>
        <w:t>sprüchen wegen der Prozesskosten in dem von ihm erfolglos geführten Verfahren des vorläufigen Rechtsschutzes.</w:t>
      </w:r>
    </w:p>
    <w:p w:rsidR="00701552" w:rsidRDefault="00701552" w:rsidP="00701552">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7456" behindDoc="0" locked="0" layoutInCell="1" allowOverlap="1" wp14:anchorId="6907D703" wp14:editId="6CD0720B">
                <wp:simplePos x="0" y="0"/>
                <wp:positionH relativeFrom="column">
                  <wp:posOffset>-6985</wp:posOffset>
                </wp:positionH>
                <wp:positionV relativeFrom="paragraph">
                  <wp:posOffset>357809</wp:posOffset>
                </wp:positionV>
                <wp:extent cx="269875" cy="179705"/>
                <wp:effectExtent l="0" t="0" r="0" b="0"/>
                <wp:wrapNone/>
                <wp:docPr id="38" name="Textfeld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8" o:spid="_x0000_s1034" type="#_x0000_t202" style="position:absolute;left:0;text-align:left;margin-left:-.55pt;margin-top:28.15pt;width:21.2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9</w:t>
                      </w:r>
                      <w:r>
                        <w:fldChar w:fldCharType="end"/>
                      </w:r>
                    </w:p>
                  </w:txbxContent>
                </v:textbox>
              </v:shape>
            </w:pict>
          </mc:Fallback>
        </mc:AlternateContent>
      </w:r>
      <w:r>
        <w:rPr>
          <w:sz w:val="24"/>
        </w:rPr>
        <w:t>Das Verwaltungsgericht wies die Klage mit Urteil vom 2. September 2011 - 3 K 499/10 - als unzulässig ab. Dem Kläger stehe für die nach der übereinstimmenden E</w:t>
      </w:r>
      <w:r>
        <w:rPr>
          <w:sz w:val="24"/>
        </w:rPr>
        <w:t>r</w:t>
      </w:r>
      <w:r>
        <w:rPr>
          <w:sz w:val="24"/>
        </w:rPr>
        <w:t>ledigungserklärung noch anhängige auf die Feststellung der Rechtswidrigkeit gericht</w:t>
      </w:r>
      <w:r>
        <w:rPr>
          <w:sz w:val="24"/>
        </w:rPr>
        <w:t>e</w:t>
      </w:r>
      <w:r>
        <w:rPr>
          <w:sz w:val="24"/>
        </w:rPr>
        <w:t>te Fortsetzungsfeststellungsklage kein Rechtsschutzinteresse</w:t>
      </w:r>
      <w:r w:rsidRPr="00557B66">
        <w:rPr>
          <w:sz w:val="24"/>
        </w:rPr>
        <w:t xml:space="preserve"> </w:t>
      </w:r>
      <w:r>
        <w:rPr>
          <w:sz w:val="24"/>
        </w:rPr>
        <w:t xml:space="preserve">zur Seite. Eine </w:t>
      </w:r>
      <w:proofErr w:type="spellStart"/>
      <w:r>
        <w:rPr>
          <w:sz w:val="24"/>
        </w:rPr>
        <w:t>Präjud</w:t>
      </w:r>
      <w:r>
        <w:rPr>
          <w:sz w:val="24"/>
        </w:rPr>
        <w:t>i</w:t>
      </w:r>
      <w:r>
        <w:rPr>
          <w:sz w:val="24"/>
        </w:rPr>
        <w:t>zialität</w:t>
      </w:r>
      <w:proofErr w:type="spellEnd"/>
      <w:r>
        <w:rPr>
          <w:sz w:val="24"/>
        </w:rPr>
        <w:t xml:space="preserve"> für Schadensersatz- oder Entschädigungsansprüche habe der Kläger nicht da</w:t>
      </w:r>
      <w:r>
        <w:rPr>
          <w:sz w:val="24"/>
        </w:rPr>
        <w:t>r</w:t>
      </w:r>
      <w:r>
        <w:rPr>
          <w:sz w:val="24"/>
        </w:rPr>
        <w:t>gelegt. Insbesondere sei kein Ersatzanspruch gegen die Beklagten ersichtlich, soweit dem Kläger in dem von ihm angestrengten ersten Verfahren auf vorläufigen Recht</w:t>
      </w:r>
      <w:r>
        <w:rPr>
          <w:sz w:val="24"/>
        </w:rPr>
        <w:t>s</w:t>
      </w:r>
      <w:r>
        <w:rPr>
          <w:sz w:val="24"/>
        </w:rPr>
        <w:t>schutz bei dem Verwaltungsgericht - 2 L 123/10 - wegen seiner verfrühten Antragste</w:t>
      </w:r>
      <w:r>
        <w:rPr>
          <w:sz w:val="24"/>
        </w:rPr>
        <w:t>l</w:t>
      </w:r>
      <w:r>
        <w:rPr>
          <w:sz w:val="24"/>
        </w:rPr>
        <w:t>lung Kosten auferlegt worden seien. Die Beklagten hätten keine Amtspflicht, den Kl</w:t>
      </w:r>
      <w:r>
        <w:rPr>
          <w:sz w:val="24"/>
        </w:rPr>
        <w:t>ä</w:t>
      </w:r>
      <w:r>
        <w:rPr>
          <w:sz w:val="24"/>
        </w:rPr>
        <w:t>ger vor verfrühten Rechtsschutzersuchen an Gerichte zu bewahren. Ein Rehabilitat</w:t>
      </w:r>
      <w:r>
        <w:rPr>
          <w:sz w:val="24"/>
        </w:rPr>
        <w:t>i</w:t>
      </w:r>
      <w:r>
        <w:rPr>
          <w:sz w:val="24"/>
        </w:rPr>
        <w:t>onsinteresse sei ebenfalls nicht gegeben, da der bei der Rektorenwahl unterlaufene Verfahrensfehler den Kläger nicht in seiner Person betroffen habe. Auch eine Wiede</w:t>
      </w:r>
      <w:r>
        <w:rPr>
          <w:sz w:val="24"/>
        </w:rPr>
        <w:t>r</w:t>
      </w:r>
      <w:r>
        <w:rPr>
          <w:sz w:val="24"/>
        </w:rPr>
        <w:t>holungsgefahr sei abzulehnen, da eine gleiche oder gleichartige Entscheidung in naher Zukunft wegen der veränderten Bewerberkonstellation nicht zu erwarten sei und die Beklagten zudem die dem Kläger Recht gebende Senatsentscheidung im vorläufigen Rechtsschutz vom 2. August 2010 respektiert und umgesetzt hä</w:t>
      </w:r>
      <w:r>
        <w:rPr>
          <w:sz w:val="24"/>
        </w:rPr>
        <w:t>t</w:t>
      </w:r>
      <w:r>
        <w:rPr>
          <w:sz w:val="24"/>
        </w:rPr>
        <w:t>ten.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68480" behindDoc="0" locked="0" layoutInCell="1" allowOverlap="1" wp14:anchorId="13B3F5AD" wp14:editId="79E4B40D">
                <wp:simplePos x="0" y="0"/>
                <wp:positionH relativeFrom="column">
                  <wp:posOffset>-6985</wp:posOffset>
                </wp:positionH>
                <wp:positionV relativeFrom="paragraph">
                  <wp:posOffset>228600</wp:posOffset>
                </wp:positionV>
                <wp:extent cx="269875" cy="179705"/>
                <wp:effectExtent l="0" t="0" r="0" b="1270"/>
                <wp:wrapNone/>
                <wp:docPr id="37" name="Textfeld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7" o:spid="_x0000_s1035" type="#_x0000_t202" style="position:absolute;left:0;text-align:left;margin-left:-.55pt;margin-top:18pt;width:21.2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khEEsX4CAAAH&#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10</w:t>
                      </w:r>
                      <w:r>
                        <w:fldChar w:fldCharType="end"/>
                      </w:r>
                    </w:p>
                  </w:txbxContent>
                </v:textbox>
              </v:shape>
            </w:pict>
          </mc:Fallback>
        </mc:AlternateContent>
      </w:r>
      <w:r>
        <w:rPr>
          <w:sz w:val="24"/>
        </w:rPr>
        <w:t>Auf den Antrag des Klägers hat der Senat mit Beschluss vom 18. Dezember 2013 - 2 A 750/11 - die Berufung auf Grundlage von § 124 Abs. 2 Nr. 1 VwGO zugelassen.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69504" behindDoc="0" locked="0" layoutInCell="1" allowOverlap="1" wp14:anchorId="55DC5E7E" wp14:editId="0221E6B6">
                <wp:simplePos x="0" y="0"/>
                <wp:positionH relativeFrom="column">
                  <wp:posOffset>-6985</wp:posOffset>
                </wp:positionH>
                <wp:positionV relativeFrom="paragraph">
                  <wp:posOffset>228600</wp:posOffset>
                </wp:positionV>
                <wp:extent cx="269875" cy="179705"/>
                <wp:effectExtent l="0" t="1905" r="0" b="0"/>
                <wp:wrapNone/>
                <wp:docPr id="36" name="Textfeld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6" o:spid="_x0000_s1036" type="#_x0000_t202" style="position:absolute;left:0;text-align:left;margin-left:-.55pt;margin-top:18pt;width:21.2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" stroked="f">
                <v:textbox inset="0,0,0,0">
                  <w:txbxContent>
                    <w:p w:rsidR="00701552" w:rsidRDefault="00701552" w:rsidP="00701552">
                      <w:r>
                        <w:fldChar w:fldCharType="begin"/>
                      </w:r>
                      <w:r>
                        <w:instrText xml:space="preserve"> SEQ \a </w:instrText>
                      </w:r>
                      <w:r>
                        <w:fldChar w:fldCharType="separate"/>
                      </w:r>
                      <w:r>
                        <w:rPr>
                          <w:noProof/>
                        </w:rPr>
                        <w:t>11</w:t>
                      </w:r>
                      <w:r>
                        <w:fldChar w:fldCharType="end"/>
                      </w:r>
                    </w:p>
                  </w:txbxContent>
                </v:textbox>
              </v:shape>
            </w:pict>
          </mc:Fallback>
        </mc:AlternateContent>
      </w:r>
      <w:r>
        <w:rPr>
          <w:sz w:val="24"/>
        </w:rPr>
        <w:t>Mit seiner Berufungsbegründung trägt der Kläger vor, entgegen der Ansicht des Verwaltungsgerichts sei seine Klage als Feststellungsklage zulässig. Ihm stehe ein Fes</w:t>
      </w:r>
      <w:r>
        <w:rPr>
          <w:sz w:val="24"/>
        </w:rPr>
        <w:t>t</w:t>
      </w:r>
      <w:r>
        <w:rPr>
          <w:sz w:val="24"/>
        </w:rPr>
        <w:t>stellungsinteresse nach § 113 Abs. 1 Satz 4, § 43 Abs. 1 VwGO zu, da er den Fortse</w:t>
      </w:r>
      <w:r>
        <w:rPr>
          <w:sz w:val="24"/>
        </w:rPr>
        <w:t>t</w:t>
      </w:r>
      <w:r>
        <w:rPr>
          <w:sz w:val="24"/>
        </w:rPr>
        <w:t>zungsbonus der ursprünglich zulässig und begründet erhobenen Neubescheidungskl</w:t>
      </w:r>
      <w:r>
        <w:rPr>
          <w:sz w:val="24"/>
        </w:rPr>
        <w:t>a</w:t>
      </w:r>
      <w:r>
        <w:rPr>
          <w:sz w:val="24"/>
        </w:rPr>
        <w:t>ge in Anspruch nehmen könne. Die ihm im Verfahren 2 L 123/10 sowie im nachfo</w:t>
      </w:r>
      <w:r>
        <w:rPr>
          <w:sz w:val="24"/>
        </w:rPr>
        <w:t>l</w:t>
      </w:r>
      <w:r>
        <w:rPr>
          <w:sz w:val="24"/>
        </w:rPr>
        <w:t>genden Beschwerdeverfahren 2 B 145/10 entstandenen Verfahrenskosten stellten e</w:t>
      </w:r>
      <w:r>
        <w:rPr>
          <w:sz w:val="24"/>
        </w:rPr>
        <w:t>i</w:t>
      </w:r>
      <w:r>
        <w:rPr>
          <w:sz w:val="24"/>
        </w:rPr>
        <w:t>nen im Wege der Amtshaftung durchsetzbaren Schaden dar, der ihm durch die in der fehlerhaften Vorbereitung und Durchführung der Rektorenwahl am 30. April 2010 sowie in der Stellenbesetzungsmitteilung vom 11. Mai 2010 liegende Amtspflichtve</w:t>
      </w:r>
      <w:r>
        <w:rPr>
          <w:sz w:val="24"/>
        </w:rPr>
        <w:t>r</w:t>
      </w:r>
      <w:r>
        <w:rPr>
          <w:sz w:val="24"/>
        </w:rPr>
        <w:t xml:space="preserve">letzung entstanden sei. Denn der </w:t>
      </w:r>
      <w:r>
        <w:rPr>
          <w:sz w:val="24"/>
        </w:rPr>
        <w:lastRenderedPageBreak/>
        <w:t>Amtshaftungsanspruch umfasse grundsätzlich auch die Kosten jedenfalls nicht von vornherein aussichtsloser, angemessener Rechtsbehe</w:t>
      </w:r>
      <w:r>
        <w:rPr>
          <w:sz w:val="24"/>
        </w:rPr>
        <w:t>l</w:t>
      </w:r>
      <w:r>
        <w:rPr>
          <w:sz w:val="24"/>
        </w:rPr>
        <w:t>fe, die der Betroffene zur Abwendung eines durch die Pflichtverletzung drohenden Sch</w:t>
      </w:r>
      <w:r>
        <w:rPr>
          <w:sz w:val="24"/>
        </w:rPr>
        <w:t>a</w:t>
      </w:r>
      <w:r>
        <w:rPr>
          <w:sz w:val="24"/>
        </w:rPr>
        <w:t xml:space="preserve">dens in Anspruch nehme (vgl. OLG Brandenburg, Urt. v. 10. November 2009 - 2 U 42/08 -, </w:t>
      </w:r>
      <w:proofErr w:type="spellStart"/>
      <w:r>
        <w:rPr>
          <w:sz w:val="24"/>
        </w:rPr>
        <w:t>juris</w:t>
      </w:r>
      <w:proofErr w:type="spellEnd"/>
      <w:r>
        <w:rPr>
          <w:sz w:val="24"/>
        </w:rPr>
        <w:t xml:space="preserve">). Der Begriff des Rechtsmittels sei dabei </w:t>
      </w:r>
      <w:proofErr w:type="spellStart"/>
      <w:r>
        <w:rPr>
          <w:sz w:val="24"/>
        </w:rPr>
        <w:t>untechnisch</w:t>
      </w:r>
      <w:proofErr w:type="spellEnd"/>
      <w:r>
        <w:rPr>
          <w:sz w:val="24"/>
        </w:rPr>
        <w:t xml:space="preserve"> und weit zu ve</w:t>
      </w:r>
      <w:r>
        <w:rPr>
          <w:sz w:val="24"/>
        </w:rPr>
        <w:t>r</w:t>
      </w:r>
      <w:r>
        <w:rPr>
          <w:sz w:val="24"/>
        </w:rPr>
        <w:t xml:space="preserve">stehen (vgl. </w:t>
      </w:r>
      <w:proofErr w:type="spellStart"/>
      <w:r>
        <w:rPr>
          <w:sz w:val="24"/>
        </w:rPr>
        <w:t>Senatsbeschl</w:t>
      </w:r>
      <w:proofErr w:type="spellEnd"/>
      <w:r>
        <w:rPr>
          <w:sz w:val="24"/>
        </w:rPr>
        <w:t xml:space="preserve">. v. 9. September 2013 - 2 A 173/11 -, </w:t>
      </w:r>
      <w:proofErr w:type="spellStart"/>
      <w:r>
        <w:rPr>
          <w:sz w:val="24"/>
        </w:rPr>
        <w:t>juris</w:t>
      </w:r>
      <w:proofErr w:type="spellEnd"/>
      <w:r>
        <w:rPr>
          <w:sz w:val="24"/>
        </w:rPr>
        <w:t xml:space="preserve"> </w:t>
      </w:r>
      <w:proofErr w:type="spellStart"/>
      <w:r>
        <w:rPr>
          <w:sz w:val="24"/>
        </w:rPr>
        <w:t>Rn</w:t>
      </w:r>
      <w:proofErr w:type="spellEnd"/>
      <w:r>
        <w:rPr>
          <w:sz w:val="24"/>
        </w:rPr>
        <w:t>. 9). Um einen solchen Rechtsbehelf habe es sich bei dem von ihm gestellten Eilantrag mit dem Ziel der Verhinderung der fehlerhaften Rektorenwahl gehandelt. Er habe damit, auch w</w:t>
      </w:r>
      <w:r>
        <w:rPr>
          <w:sz w:val="24"/>
        </w:rPr>
        <w:t>e</w:t>
      </w:r>
      <w:r>
        <w:rPr>
          <w:sz w:val="24"/>
        </w:rPr>
        <w:t>gen seiner Obliegenheit zur Schadensminderung, eine fehlerhafte Vorentscheidung zugunsten des Beigeladenen verhindern wollen. Denn es sei nicht ausgeschlossen gewesen, dass mit der Wahl am 30. April 2010 bereits in einer Weise vollendete Tats</w:t>
      </w:r>
      <w:r>
        <w:rPr>
          <w:sz w:val="24"/>
        </w:rPr>
        <w:t>a</w:t>
      </w:r>
      <w:r>
        <w:rPr>
          <w:sz w:val="24"/>
        </w:rPr>
        <w:t>chen geschaffen würden, die späteren Rechtsschutz vereiteln oder wesentlich erschw</w:t>
      </w:r>
      <w:r>
        <w:rPr>
          <w:sz w:val="24"/>
        </w:rPr>
        <w:t>e</w:t>
      </w:r>
      <w:r>
        <w:rPr>
          <w:sz w:val="24"/>
        </w:rPr>
        <w:t>ren würden. Es habe ein irreversibler, gleichheitswidriger Chancenvorteil für den Be</w:t>
      </w:r>
      <w:r>
        <w:rPr>
          <w:sz w:val="24"/>
        </w:rPr>
        <w:t>i</w:t>
      </w:r>
      <w:r>
        <w:rPr>
          <w:sz w:val="24"/>
        </w:rPr>
        <w:t>geladenen gedroht, wenn dieser als alleiniger Bewerber im erweiterten Senat vorg</w:t>
      </w:r>
      <w:r>
        <w:rPr>
          <w:sz w:val="24"/>
        </w:rPr>
        <w:t>e</w:t>
      </w:r>
      <w:r>
        <w:rPr>
          <w:sz w:val="24"/>
        </w:rPr>
        <w:t>stellt würde und dann in den Genuss einer konkurrenzlosen Probewahl kommen kon</w:t>
      </w:r>
      <w:r>
        <w:rPr>
          <w:sz w:val="24"/>
        </w:rPr>
        <w:t>n</w:t>
      </w:r>
      <w:r>
        <w:rPr>
          <w:sz w:val="24"/>
        </w:rPr>
        <w:t>te, selbst wenn diese Wahl später zu wiederholen wäre. Im Übrigen werde im Rahmen des Rechtsschutzes bei der Besetzung von Wahlämtern teilweise auch ein unmittelb</w:t>
      </w:r>
      <w:r>
        <w:rPr>
          <w:sz w:val="24"/>
        </w:rPr>
        <w:t>a</w:t>
      </w:r>
      <w:r>
        <w:rPr>
          <w:sz w:val="24"/>
        </w:rPr>
        <w:t>rer Anspruch des Gewählten auf Ernennung angenommen, so dass sich vorläufiger Rechtsschutz auf eine einstweilige Verhinderung der Wahl richten müsse. Diese Ko</w:t>
      </w:r>
      <w:r>
        <w:rPr>
          <w:sz w:val="24"/>
        </w:rPr>
        <w:t>n</w:t>
      </w:r>
      <w:r>
        <w:rPr>
          <w:sz w:val="24"/>
        </w:rPr>
        <w:t>trolle im Rahmen des Bewerbungsverfahrensanspruchs beinhalte bei Wahlämtern j</w:t>
      </w:r>
      <w:r>
        <w:rPr>
          <w:sz w:val="24"/>
        </w:rPr>
        <w:t>e</w:t>
      </w:r>
      <w:r>
        <w:rPr>
          <w:sz w:val="24"/>
        </w:rPr>
        <w:t>denfalls die Prüfung, ob die der Wahlentscheidung vorausgegangenen Verfahren</w:t>
      </w:r>
      <w:r>
        <w:rPr>
          <w:sz w:val="24"/>
        </w:rPr>
        <w:t>s</w:t>
      </w:r>
      <w:r>
        <w:rPr>
          <w:sz w:val="24"/>
        </w:rPr>
        <w:t>schritte, soweit sie die Bestenauslese sicherstellen, Beachtung gefunden haben. Es spreche deshalb viel dafür, den Rechtsschutz fehlerhaft nicht zugelassener Bewerber bereits unmittelbar vor der Durchführung der Wahl zuzulassen. Bei pflichtgemäßem Verhalten der Bediensteten des Beklagten zu 1 bzw. des Vorsitzenden des Hochschu</w:t>
      </w:r>
      <w:r>
        <w:rPr>
          <w:sz w:val="24"/>
        </w:rPr>
        <w:t>l</w:t>
      </w:r>
      <w:r>
        <w:rPr>
          <w:sz w:val="24"/>
        </w:rPr>
        <w:t>rats bei der Beklagten zu 2 hätte er im Vorfeld der Wahl vom 30. April 2010 kein verwaltungsgerichtliches Eilverfahren anstrengen müssen, so dass die entsprechenden Rechtsverfolgungskosten nicht angefallen wären. Die im Verfahren 2 L 123/10 en</w:t>
      </w:r>
      <w:r>
        <w:rPr>
          <w:sz w:val="24"/>
        </w:rPr>
        <w:t>t</w:t>
      </w:r>
      <w:r>
        <w:rPr>
          <w:sz w:val="24"/>
        </w:rPr>
        <w:t>standenen Kosten beliefen sich auf 121,00 € Gerichtskosten sowie Rechtsanwaltsg</w:t>
      </w:r>
      <w:r>
        <w:rPr>
          <w:sz w:val="24"/>
        </w:rPr>
        <w:t>e</w:t>
      </w:r>
      <w:r>
        <w:rPr>
          <w:sz w:val="24"/>
        </w:rPr>
        <w:t>bühren in Höhe von 489,45 €, insgesamt 610,45 € für die erste Instanz, die gegen die Beklagten als Gesamtschuldner ge</w:t>
      </w:r>
      <w:r>
        <w:rPr>
          <w:sz w:val="24"/>
        </w:rPr>
        <w:t>l</w:t>
      </w:r>
      <w:r>
        <w:rPr>
          <w:sz w:val="24"/>
        </w:rPr>
        <w:t>tend zu machen seien.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70528" behindDoc="0" locked="0" layoutInCell="1" allowOverlap="1" wp14:anchorId="699C8CE9" wp14:editId="35D6BAB6">
                <wp:simplePos x="0" y="0"/>
                <wp:positionH relativeFrom="column">
                  <wp:posOffset>-6985</wp:posOffset>
                </wp:positionH>
                <wp:positionV relativeFrom="paragraph">
                  <wp:posOffset>228600</wp:posOffset>
                </wp:positionV>
                <wp:extent cx="269875" cy="179705"/>
                <wp:effectExtent l="0" t="0" r="0" b="1270"/>
                <wp:wrapNone/>
                <wp:docPr id="35" name="Textfeld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5" o:spid="_x0000_s1037" type="#_x0000_t202" style="position:absolute;left:0;text-align:left;margin-left:-.55pt;margin-top:18pt;width:21.2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apq3Wn4CAAAI&#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12</w:t>
                      </w:r>
                      <w:r>
                        <w:fldChar w:fldCharType="end"/>
                      </w:r>
                    </w:p>
                  </w:txbxContent>
                </v:textbox>
              </v:shape>
            </w:pict>
          </mc:Fallback>
        </mc:AlternateContent>
      </w:r>
      <w:r>
        <w:rPr>
          <w:sz w:val="24"/>
        </w:rPr>
        <w:t xml:space="preserve">Auf Hinweis des Vorsitzenden in der mündlichen Verhandlung hat der Kläger den am 13. Februar 2014 </w:t>
      </w:r>
      <w:proofErr w:type="spellStart"/>
      <w:r>
        <w:rPr>
          <w:sz w:val="24"/>
        </w:rPr>
        <w:t>schriftsätzlich</w:t>
      </w:r>
      <w:proofErr w:type="spellEnd"/>
      <w:r>
        <w:rPr>
          <w:sz w:val="24"/>
        </w:rPr>
        <w:t xml:space="preserve"> angekündigten Antrag präzisiert.</w:t>
      </w:r>
    </w:p>
    <w:p w:rsidR="00701552" w:rsidRDefault="00701552" w:rsidP="00701552">
      <w:pPr>
        <w:spacing w:before="360" w:line="360" w:lineRule="auto"/>
        <w:ind w:left="720"/>
        <w:jc w:val="both"/>
        <w:rPr>
          <w:sz w:val="24"/>
        </w:rPr>
      </w:pPr>
      <w:r>
        <w:rPr>
          <w:noProof/>
          <w:sz w:val="24"/>
        </w:rPr>
        <w:lastRenderedPageBreak/>
        <mc:AlternateContent>
          <mc:Choice Requires="wps">
            <w:drawing>
              <wp:anchor distT="0" distB="0" distL="114300" distR="114300" simplePos="0" relativeHeight="251671552" behindDoc="0" locked="0" layoutInCell="1" allowOverlap="1" wp14:anchorId="09C5B076" wp14:editId="000F5844">
                <wp:simplePos x="0" y="0"/>
                <wp:positionH relativeFrom="column">
                  <wp:posOffset>-9249</wp:posOffset>
                </wp:positionH>
                <wp:positionV relativeFrom="paragraph">
                  <wp:posOffset>54362</wp:posOffset>
                </wp:positionV>
                <wp:extent cx="269875" cy="354633"/>
                <wp:effectExtent l="0" t="0" r="0" b="7620"/>
                <wp:wrapNone/>
                <wp:docPr id="34" name="Textfeld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35463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4" o:spid="_x0000_s1038" type="#_x0000_t202" style="position:absolute;left:0;text-align:left;margin-left:-.75pt;margin-top:4.3pt;width:21.25pt;height:27.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" stroked="f">
                <v:textbox inset="0,0,0,0">
                  <w:txbxContent>
                    <w:p w:rsidR="00701552" w:rsidRDefault="00701552" w:rsidP="00701552">
                      <w:r>
                        <w:fldChar w:fldCharType="begin"/>
                      </w:r>
                      <w:r>
                        <w:instrText xml:space="preserve"> SEQ \a </w:instrText>
                      </w:r>
                      <w:r>
                        <w:fldChar w:fldCharType="separate"/>
                      </w:r>
                      <w:r>
                        <w:rPr>
                          <w:noProof/>
                        </w:rPr>
                        <w:t>13</w:t>
                      </w:r>
                      <w:r>
                        <w:fldChar w:fldCharType="end"/>
                      </w:r>
                    </w:p>
                  </w:txbxContent>
                </v:textbox>
              </v:shape>
            </w:pict>
          </mc:Fallback>
        </mc:AlternateContent>
      </w:r>
      <w:r>
        <w:rPr>
          <w:sz w:val="24"/>
        </w:rPr>
        <w:t>Der Kläger beantragt nunmehr,</w:t>
      </w:r>
    </w:p>
    <w:p w:rsidR="00701552" w:rsidRDefault="00701552" w:rsidP="00701552">
      <w:pPr>
        <w:spacing w:before="360"/>
        <w:ind w:left="1418"/>
        <w:jc w:val="both"/>
        <w:rPr>
          <w:sz w:val="24"/>
        </w:rPr>
      </w:pPr>
      <w:r>
        <w:rPr>
          <w:sz w:val="24"/>
        </w:rPr>
        <w:t>unter Abänderung des Urteils des Verwaltungsgerichts Chemnitz vom 2. September 2011 - 3 K 499/10 - festzustellen, dass der Wahlvorschlag des Hoc</w:t>
      </w:r>
      <w:r>
        <w:rPr>
          <w:sz w:val="24"/>
        </w:rPr>
        <w:t>h</w:t>
      </w:r>
      <w:r>
        <w:rPr>
          <w:sz w:val="24"/>
        </w:rPr>
        <w:t xml:space="preserve">schulrats </w:t>
      </w:r>
      <w:r w:rsidRPr="00E41D8F">
        <w:rPr>
          <w:sz w:val="24"/>
        </w:rPr>
        <w:t>im Einvernehmen mit dem Senat</w:t>
      </w:r>
      <w:r>
        <w:rPr>
          <w:sz w:val="24"/>
        </w:rPr>
        <w:t xml:space="preserve"> und die folgende Wahl des Beigel</w:t>
      </w:r>
      <w:r>
        <w:rPr>
          <w:sz w:val="24"/>
        </w:rPr>
        <w:t>a</w:t>
      </w:r>
      <w:r>
        <w:rPr>
          <w:sz w:val="24"/>
        </w:rPr>
        <w:t>denen durch den Erweiterten Senat bei der Beklagten zu 2 am 30. April 2010 rechtswidrig w</w:t>
      </w:r>
      <w:r>
        <w:rPr>
          <w:sz w:val="24"/>
        </w:rPr>
        <w:t>a</w:t>
      </w:r>
      <w:r>
        <w:rPr>
          <w:sz w:val="24"/>
        </w:rPr>
        <w:t>ren.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72576" behindDoc="0" locked="0" layoutInCell="1" allowOverlap="1" wp14:anchorId="67B9E16C" wp14:editId="6109D954">
                <wp:simplePos x="0" y="0"/>
                <wp:positionH relativeFrom="column">
                  <wp:posOffset>-6985</wp:posOffset>
                </wp:positionH>
                <wp:positionV relativeFrom="paragraph">
                  <wp:posOffset>228600</wp:posOffset>
                </wp:positionV>
                <wp:extent cx="269875" cy="179705"/>
                <wp:effectExtent l="0" t="2540" r="0" b="0"/>
                <wp:wrapNone/>
                <wp:docPr id="33" name="Textfeld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3" o:spid="_x0000_s1039" type="#_x0000_t202" style="position:absolute;left:0;text-align:left;margin-left:-.55pt;margin-top:18pt;width:21.2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" stroked="f">
                <v:textbox inset="0,0,0,0">
                  <w:txbxContent>
                    <w:p w:rsidR="00701552" w:rsidRDefault="00701552" w:rsidP="00701552">
                      <w:r>
                        <w:fldChar w:fldCharType="begin"/>
                      </w:r>
                      <w:r>
                        <w:instrText xml:space="preserve"> SEQ \a </w:instrText>
                      </w:r>
                      <w:r>
                        <w:fldChar w:fldCharType="separate"/>
                      </w:r>
                      <w:r>
                        <w:rPr>
                          <w:noProof/>
                        </w:rPr>
                        <w:t>14</w:t>
                      </w:r>
                      <w:r>
                        <w:fldChar w:fldCharType="end"/>
                      </w:r>
                    </w:p>
                  </w:txbxContent>
                </v:textbox>
              </v:shape>
            </w:pict>
          </mc:Fallback>
        </mc:AlternateContent>
      </w:r>
      <w:r>
        <w:rPr>
          <w:sz w:val="24"/>
        </w:rPr>
        <w:t>Der Beklagte zu 1 beantragt,</w:t>
      </w:r>
    </w:p>
    <w:p w:rsidR="00701552" w:rsidRDefault="00701552" w:rsidP="00701552">
      <w:pPr>
        <w:spacing w:before="360" w:line="360" w:lineRule="auto"/>
        <w:ind w:left="1418"/>
        <w:jc w:val="both"/>
        <w:rPr>
          <w:sz w:val="24"/>
        </w:rPr>
      </w:pPr>
      <w:r>
        <w:rPr>
          <w:noProof/>
          <w:sz w:val="24"/>
        </w:rPr>
        <mc:AlternateContent>
          <mc:Choice Requires="wps">
            <w:drawing>
              <wp:anchor distT="0" distB="0" distL="114300" distR="114300" simplePos="0" relativeHeight="251673600" behindDoc="0" locked="0" layoutInCell="1" allowOverlap="1" wp14:anchorId="51E364F9" wp14:editId="1BA58F28">
                <wp:simplePos x="0" y="0"/>
                <wp:positionH relativeFrom="column">
                  <wp:posOffset>-6985</wp:posOffset>
                </wp:positionH>
                <wp:positionV relativeFrom="paragraph">
                  <wp:posOffset>228600</wp:posOffset>
                </wp:positionV>
                <wp:extent cx="269875" cy="179705"/>
                <wp:effectExtent l="0" t="0" r="0" b="2540"/>
                <wp:wrapNone/>
                <wp:docPr id="32" name="Textfeld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2" o:spid="_x0000_s1040" type="#_x0000_t202" style="position:absolute;left:0;text-align:left;margin-left:-.55pt;margin-top:18pt;width:21.2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" stroked="f">
                <v:textbox inset="0,0,0,0">
                  <w:txbxContent>
                    <w:p w:rsidR="00701552" w:rsidRDefault="00701552" w:rsidP="00701552"/>
                  </w:txbxContent>
                </v:textbox>
              </v:shape>
            </w:pict>
          </mc:Fallback>
        </mc:AlternateContent>
      </w:r>
      <w:r>
        <w:rPr>
          <w:sz w:val="24"/>
        </w:rPr>
        <w:t>die Berufung zurückzuweisen.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74624" behindDoc="0" locked="0" layoutInCell="1" allowOverlap="1" wp14:anchorId="3971BE2F" wp14:editId="5B99E3F2">
                <wp:simplePos x="0" y="0"/>
                <wp:positionH relativeFrom="column">
                  <wp:posOffset>-6985</wp:posOffset>
                </wp:positionH>
                <wp:positionV relativeFrom="paragraph">
                  <wp:posOffset>228600</wp:posOffset>
                </wp:positionV>
                <wp:extent cx="269875" cy="179705"/>
                <wp:effectExtent l="0" t="4445" r="0" b="0"/>
                <wp:wrapNone/>
                <wp:docPr id="31" name="Textfeld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1" o:spid="_x0000_s1041" type="#_x0000_t202" style="position:absolute;left:0;text-align:left;margin-left:-.55pt;margin-top:18pt;width:21.2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nDXJ6H4CAAAI&#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15</w:t>
                      </w:r>
                      <w:r>
                        <w:fldChar w:fldCharType="end"/>
                      </w:r>
                    </w:p>
                  </w:txbxContent>
                </v:textbox>
              </v:shape>
            </w:pict>
          </mc:Fallback>
        </mc:AlternateContent>
      </w:r>
      <w:r>
        <w:rPr>
          <w:sz w:val="24"/>
        </w:rPr>
        <w:t>Er verweist auf die Berufungserwiderung der Beklagten zu 2 und trägt ergänzend vor, dass der Kläger unter keinem rechtlichen Gesichtspunkt einen Anspruch gegen den Beklagten zu 1 geltend machen könne.</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75648" behindDoc="0" locked="0" layoutInCell="1" allowOverlap="1" wp14:anchorId="39CA90B5" wp14:editId="2B1E48C5">
                <wp:simplePos x="0" y="0"/>
                <wp:positionH relativeFrom="column">
                  <wp:posOffset>-6985</wp:posOffset>
                </wp:positionH>
                <wp:positionV relativeFrom="paragraph">
                  <wp:posOffset>228600</wp:posOffset>
                </wp:positionV>
                <wp:extent cx="269875" cy="179705"/>
                <wp:effectExtent l="0" t="2540" r="0" b="0"/>
                <wp:wrapNone/>
                <wp:docPr id="30" name="Textfeld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0" o:spid="_x0000_s1042" type="#_x0000_t202" style="position:absolute;left:0;text-align:left;margin-left:-.55pt;margin-top:18pt;width:21.2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" stroked="f">
                <v:textbox inset="0,0,0,0">
                  <w:txbxContent>
                    <w:p w:rsidR="00701552" w:rsidRDefault="00701552" w:rsidP="00701552">
                      <w:r>
                        <w:fldChar w:fldCharType="begin"/>
                      </w:r>
                      <w:r>
                        <w:instrText xml:space="preserve"> SEQ \a </w:instrText>
                      </w:r>
                      <w:r>
                        <w:fldChar w:fldCharType="separate"/>
                      </w:r>
                      <w:r>
                        <w:rPr>
                          <w:noProof/>
                        </w:rPr>
                        <w:t>16</w:t>
                      </w:r>
                      <w:r>
                        <w:fldChar w:fldCharType="end"/>
                      </w:r>
                    </w:p>
                  </w:txbxContent>
                </v:textbox>
              </v:shape>
            </w:pict>
          </mc:Fallback>
        </mc:AlternateContent>
      </w:r>
      <w:r>
        <w:rPr>
          <w:sz w:val="24"/>
        </w:rPr>
        <w:t>Die Beklagte zu 2 beantragt,</w:t>
      </w:r>
    </w:p>
    <w:p w:rsidR="00701552" w:rsidRDefault="00701552" w:rsidP="00701552">
      <w:pPr>
        <w:spacing w:before="360" w:line="360" w:lineRule="auto"/>
        <w:ind w:left="1418"/>
        <w:jc w:val="both"/>
        <w:rPr>
          <w:sz w:val="24"/>
        </w:rPr>
      </w:pPr>
      <w:r>
        <w:rPr>
          <w:noProof/>
          <w:sz w:val="24"/>
        </w:rPr>
        <mc:AlternateContent>
          <mc:Choice Requires="wps">
            <w:drawing>
              <wp:anchor distT="0" distB="0" distL="114300" distR="114300" simplePos="0" relativeHeight="251676672" behindDoc="0" locked="0" layoutInCell="1" allowOverlap="1" wp14:anchorId="43DA7F50" wp14:editId="3053006C">
                <wp:simplePos x="0" y="0"/>
                <wp:positionH relativeFrom="column">
                  <wp:posOffset>-6985</wp:posOffset>
                </wp:positionH>
                <wp:positionV relativeFrom="paragraph">
                  <wp:posOffset>228600</wp:posOffset>
                </wp:positionV>
                <wp:extent cx="269875" cy="179705"/>
                <wp:effectExtent l="0" t="0" r="0" b="2540"/>
                <wp:wrapNone/>
                <wp:docPr id="29" name="Textfeld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9" o:spid="_x0000_s1043" type="#_x0000_t202" style="position:absolute;left:0;text-align:left;margin-left:-.55pt;margin-top:18pt;width:21.2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0qW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iddKln4CAAAI&#10;BQAADgAAAAAAAAAAAAAAAAAuAgAAZHJzL2Uyb0RvYy54bWxQSwECLQAUAAYACAAAACEAqMVvod0A&#10;AAAHAQAADwAAAAAAAAAAAAAAAADYBAAAZHJzL2Rvd25yZXYueG1sUEsFBgAAAAAEAAQA8wAAAOIF&#10;AAAAAA==&#10;" stroked="f">
                <v:textbox inset="0,0,0,0">
                  <w:txbxContent>
                    <w:p w:rsidR="00701552" w:rsidRDefault="00701552" w:rsidP="00701552"/>
                  </w:txbxContent>
                </v:textbox>
              </v:shape>
            </w:pict>
          </mc:Fallback>
        </mc:AlternateContent>
      </w:r>
      <w:r>
        <w:rPr>
          <w:sz w:val="24"/>
        </w:rPr>
        <w:t>die Berufung zurückzuweisen.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77696" behindDoc="0" locked="0" layoutInCell="1" allowOverlap="1" wp14:anchorId="7B43F956" wp14:editId="79C14ABB">
                <wp:simplePos x="0" y="0"/>
                <wp:positionH relativeFrom="column">
                  <wp:posOffset>-6985</wp:posOffset>
                </wp:positionH>
                <wp:positionV relativeFrom="paragraph">
                  <wp:posOffset>228600</wp:posOffset>
                </wp:positionV>
                <wp:extent cx="269875" cy="179705"/>
                <wp:effectExtent l="0" t="4445" r="0" b="0"/>
                <wp:wrapNone/>
                <wp:docPr id="28" name="Textfeld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8" o:spid="_x0000_s1044" type="#_x0000_t202" style="position:absolute;left:0;text-align:left;margin-left:-.55pt;margin-top:18pt;width:21.25pt;height:1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kSSaxfQIAAAg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17</w:t>
                      </w:r>
                      <w:r>
                        <w:fldChar w:fldCharType="end"/>
                      </w:r>
                    </w:p>
                  </w:txbxContent>
                </v:textbox>
              </v:shape>
            </w:pict>
          </mc:Fallback>
        </mc:AlternateContent>
      </w:r>
      <w:r>
        <w:rPr>
          <w:sz w:val="24"/>
        </w:rPr>
        <w:t>Sie macht geltend, nach Abgabe der Erledigungserklärung im erstinstanzlichen Ve</w:t>
      </w:r>
      <w:r>
        <w:rPr>
          <w:sz w:val="24"/>
        </w:rPr>
        <w:t>r</w:t>
      </w:r>
      <w:r>
        <w:rPr>
          <w:sz w:val="24"/>
        </w:rPr>
        <w:t>fahren sei Klagegegenstand ausschließlich die Feststellung der Rechtswidrigkeit der Wahl vom 30. April 2010 gewesen, dagegen nicht die Rechtswidrigkeit der Stellenbese</w:t>
      </w:r>
      <w:r>
        <w:rPr>
          <w:sz w:val="24"/>
        </w:rPr>
        <w:t>t</w:t>
      </w:r>
      <w:r>
        <w:rPr>
          <w:sz w:val="24"/>
        </w:rPr>
        <w:t>zungsmitteilung; letztere könne mangels Durchführung eines Vorverfahrens nicht mehr in das Verfahren eingeführt werden. Die Feststellung der Rechtswi</w:t>
      </w:r>
      <w:r>
        <w:rPr>
          <w:sz w:val="24"/>
        </w:rPr>
        <w:t>d</w:t>
      </w:r>
      <w:r>
        <w:rPr>
          <w:sz w:val="24"/>
        </w:rPr>
        <w:t>rigkeit des Wahlvorschlags des Hochschulrats im Wege der Fortsetzungsfeststellungsklage sche</w:t>
      </w:r>
      <w:r>
        <w:rPr>
          <w:sz w:val="24"/>
        </w:rPr>
        <w:t>i</w:t>
      </w:r>
      <w:r>
        <w:rPr>
          <w:sz w:val="24"/>
        </w:rPr>
        <w:t>tere daran, dass der Wahlvorschlag als reiner Innenrechtsakt kein Verwa</w:t>
      </w:r>
      <w:r>
        <w:rPr>
          <w:sz w:val="24"/>
        </w:rPr>
        <w:t>l</w:t>
      </w:r>
      <w:r>
        <w:rPr>
          <w:sz w:val="24"/>
        </w:rPr>
        <w:t>tungsakt und nicht gesondert anfechtbar sei. Auch die Voraussetzungen der Festste</w:t>
      </w:r>
      <w:r>
        <w:rPr>
          <w:sz w:val="24"/>
        </w:rPr>
        <w:t>l</w:t>
      </w:r>
      <w:r>
        <w:rPr>
          <w:sz w:val="24"/>
        </w:rPr>
        <w:t>lungsklage nach § 43 Abs. 1 VwGO lägen nicht vor. Gleiches gelte für die begehrte Feststellung der Rechtswidrigkeit der Wahlentscheidung vom 30. April 2010, die ebenfalls als verfa</w:t>
      </w:r>
      <w:r>
        <w:rPr>
          <w:sz w:val="24"/>
        </w:rPr>
        <w:t>h</w:t>
      </w:r>
      <w:r>
        <w:rPr>
          <w:sz w:val="24"/>
        </w:rPr>
        <w:t>rensrechtlicher Einzelakt einzustufen sei, der die Ernennung lediglich vorbereite. Dies ergebe sich aus der vom Bundesverwaltungsgericht gebilligten verwaltungsgerichtl</w:t>
      </w:r>
      <w:r>
        <w:rPr>
          <w:sz w:val="24"/>
        </w:rPr>
        <w:t>i</w:t>
      </w:r>
      <w:r>
        <w:rPr>
          <w:sz w:val="24"/>
        </w:rPr>
        <w:t>chen Praxis, einstweiligen Rechtsschutz zwischen Auswahlentscheidung und Erne</w:t>
      </w:r>
      <w:r>
        <w:rPr>
          <w:sz w:val="24"/>
        </w:rPr>
        <w:t>n</w:t>
      </w:r>
      <w:r>
        <w:rPr>
          <w:sz w:val="24"/>
        </w:rPr>
        <w:t xml:space="preserve">nung nicht nach §§ 80a, 80 Abs. 5 VwGO, sondern nach § 123 VwGO zu gewähren. Eine Feststellungsklage nach § 43 VwGO scheitere auch hier am fehlenden </w:t>
      </w:r>
      <w:r>
        <w:rPr>
          <w:sz w:val="24"/>
        </w:rPr>
        <w:lastRenderedPageBreak/>
        <w:t>Recht</w:t>
      </w:r>
      <w:r>
        <w:rPr>
          <w:sz w:val="24"/>
        </w:rPr>
        <w:t>s</w:t>
      </w:r>
      <w:r>
        <w:rPr>
          <w:sz w:val="24"/>
        </w:rPr>
        <w:t>verhältnis zwischen Kläger und Beklagten. Zudem liege kein Feststellungsinteresse vor. Die Feststellung, dass der Wahlvorschlag des Hochschulrats rechtswidrig gew</w:t>
      </w:r>
      <w:r>
        <w:rPr>
          <w:sz w:val="24"/>
        </w:rPr>
        <w:t>e</w:t>
      </w:r>
      <w:r>
        <w:rPr>
          <w:sz w:val="24"/>
        </w:rPr>
        <w:t>sen sei, könne allenfalls inzident im Rahmen der beiden anderen Begehren erfolgen, was für die Begründung eines Fortsetzungsfeststellungsinteresses nicht ausreiche, da keine Bindungswirkung für das Zivilgericht entstehe, welches über den Amtsha</w:t>
      </w:r>
      <w:r>
        <w:rPr>
          <w:sz w:val="24"/>
        </w:rPr>
        <w:t>f</w:t>
      </w:r>
      <w:r>
        <w:rPr>
          <w:sz w:val="24"/>
        </w:rPr>
        <w:t>tungsanspruch entscheide. Die Feststellung der Rechtswidrigkeit von Rektorenwahl und Stellenbesetzungsmitteilung könne die Position des Klägers in einem Amtsha</w:t>
      </w:r>
      <w:r>
        <w:rPr>
          <w:sz w:val="24"/>
        </w:rPr>
        <w:t>f</w:t>
      </w:r>
      <w:r>
        <w:rPr>
          <w:sz w:val="24"/>
        </w:rPr>
        <w:t>tungsprozess nicht verbessern, da beide zeitlich nach dem ersten Antrag auf einstwe</w:t>
      </w:r>
      <w:r>
        <w:rPr>
          <w:sz w:val="24"/>
        </w:rPr>
        <w:t>i</w:t>
      </w:r>
      <w:r>
        <w:rPr>
          <w:sz w:val="24"/>
        </w:rPr>
        <w:t>ligen Rechtsschutz vom 27. April 2010 erfolgt seien und damit nicht u</w:t>
      </w:r>
      <w:r>
        <w:rPr>
          <w:sz w:val="24"/>
        </w:rPr>
        <w:t>r</w:t>
      </w:r>
      <w:r>
        <w:rPr>
          <w:sz w:val="24"/>
        </w:rPr>
        <w:t>sächlich für die dem Kläger aus dem Verfahren 2 L 123/10 entstandenen Kosten sein könnten. Im Zeitpunkt der Klageeinreichung am 24. Mai 2010 sei das zwingend vorgesehene Vo</w:t>
      </w:r>
      <w:r>
        <w:rPr>
          <w:sz w:val="24"/>
        </w:rPr>
        <w:t>r</w:t>
      </w:r>
      <w:r>
        <w:rPr>
          <w:sz w:val="24"/>
        </w:rPr>
        <w:t>verfahren noch nicht durchgeführt gewesen. Mutmaßlich hätten sich bei Abschluss des Vorverfahrens der ursprüngliche Wahlvorschlag, die Wahl des Beigeladenen am 30. April 2010 sowie die Stellenbesetzungsmitteilung bereits erledigt, so dass der Kl</w:t>
      </w:r>
      <w:r>
        <w:rPr>
          <w:sz w:val="24"/>
        </w:rPr>
        <w:t>ä</w:t>
      </w:r>
      <w:r>
        <w:rPr>
          <w:sz w:val="24"/>
        </w:rPr>
        <w:t xml:space="preserve">ger keine Fortsetzungsfeststellungsklage mehr hätte erheben können. Der Kläger dürfe durch die verfrüht erhobene </w:t>
      </w:r>
      <w:proofErr w:type="spellStart"/>
      <w:r>
        <w:rPr>
          <w:sz w:val="24"/>
        </w:rPr>
        <w:t>Hauptsacheklage</w:t>
      </w:r>
      <w:proofErr w:type="spellEnd"/>
      <w:r>
        <w:rPr>
          <w:sz w:val="24"/>
        </w:rPr>
        <w:t xml:space="preserve"> nicht besser gestellt werden. Der vom Kläger geltend gemachte Amtshaftungsanspruch beziehe sich ausschließlich auf Pr</w:t>
      </w:r>
      <w:r>
        <w:rPr>
          <w:sz w:val="24"/>
        </w:rPr>
        <w:t>o</w:t>
      </w:r>
      <w:r>
        <w:rPr>
          <w:sz w:val="24"/>
        </w:rPr>
        <w:t>zesskosten im Verfahren 2 L 123/10; die Kostentragung sei abschließend durch das Verwaltungsgericht bzw. das Oberverwaltungsgericht beurteilt worden und könne nicht mehr Gegenstand eines Amtshaftungsanspruchs sein. Der Kläger habe durch seine Antragstellung im Verfahren 2 B 145/10 selbst vereitelt, dass das Oberverwa</w:t>
      </w:r>
      <w:r>
        <w:rPr>
          <w:sz w:val="24"/>
        </w:rPr>
        <w:t>l</w:t>
      </w:r>
      <w:r>
        <w:rPr>
          <w:sz w:val="24"/>
        </w:rPr>
        <w:t>tungsgericht über die Kostentragung nach billigem Ermessen entscheide. Der Kläger habe am 27. April 2010 verfrüht einstweiligen Rechtsschutz beantragt.</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78720" behindDoc="0" locked="0" layoutInCell="1" allowOverlap="1" wp14:anchorId="075CD6C2" wp14:editId="0FA77678">
                <wp:simplePos x="0" y="0"/>
                <wp:positionH relativeFrom="column">
                  <wp:posOffset>-6985</wp:posOffset>
                </wp:positionH>
                <wp:positionV relativeFrom="paragraph">
                  <wp:posOffset>228600</wp:posOffset>
                </wp:positionV>
                <wp:extent cx="269875" cy="179705"/>
                <wp:effectExtent l="0" t="1905" r="0" b="0"/>
                <wp:wrapNone/>
                <wp:docPr id="27" name="Textfeld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7" o:spid="_x0000_s1045" type="#_x0000_t202" style="position:absolute;left:0;text-align:left;margin-left:-.55pt;margin-top:18pt;width:21.25pt;height:1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ofC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KXaHwn4CAAAI&#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18</w:t>
                      </w:r>
                      <w:r>
                        <w:fldChar w:fldCharType="end"/>
                      </w:r>
                    </w:p>
                  </w:txbxContent>
                </v:textbox>
              </v:shape>
            </w:pict>
          </mc:Fallback>
        </mc:AlternateContent>
      </w:r>
      <w:r>
        <w:rPr>
          <w:sz w:val="24"/>
        </w:rPr>
        <w:t>Der Beigeladene hat keinen Antrag gestellt.</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79744" behindDoc="0" locked="0" layoutInCell="1" allowOverlap="1" wp14:anchorId="26789098" wp14:editId="7A4FD721">
                <wp:simplePos x="0" y="0"/>
                <wp:positionH relativeFrom="column">
                  <wp:posOffset>-6985</wp:posOffset>
                </wp:positionH>
                <wp:positionV relativeFrom="paragraph">
                  <wp:posOffset>228600</wp:posOffset>
                </wp:positionV>
                <wp:extent cx="269875" cy="179705"/>
                <wp:effectExtent l="0" t="0" r="0" b="3175"/>
                <wp:wrapNone/>
                <wp:docPr id="26" name="Textfeld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6" o:spid="_x0000_s1046" type="#_x0000_t202" style="position:absolute;left:0;text-align:left;margin-left:-.55pt;margin-top:18pt;width:21.2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M1fQ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jGCM1fQIAAAg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19</w:t>
                      </w:r>
                      <w:r>
                        <w:fldChar w:fldCharType="end"/>
                      </w:r>
                    </w:p>
                  </w:txbxContent>
                </v:textbox>
              </v:shape>
            </w:pict>
          </mc:Fallback>
        </mc:AlternateContent>
      </w:r>
      <w:r>
        <w:rPr>
          <w:sz w:val="24"/>
        </w:rPr>
        <w:t>Wegen der weiteren Einzelheiten des Sach- und Streitstands wird auf die Behördena</w:t>
      </w:r>
      <w:r>
        <w:rPr>
          <w:sz w:val="24"/>
        </w:rPr>
        <w:t>k</w:t>
      </w:r>
      <w:r>
        <w:rPr>
          <w:sz w:val="24"/>
        </w:rPr>
        <w:t>ten der Beklagten, die Akten des Verwaltungsgerichts Chemnitz und die Akten des Berufungsverfahrens verwiesen.</w:t>
      </w:r>
    </w:p>
    <w:p w:rsidR="00701552" w:rsidRPr="00FF2274" w:rsidRDefault="00701552" w:rsidP="00701552">
      <w:pPr>
        <w:spacing w:before="720" w:after="240"/>
        <w:ind w:left="720"/>
        <w:jc w:val="center"/>
        <w:rPr>
          <w:b/>
          <w:sz w:val="24"/>
          <w:szCs w:val="24"/>
        </w:rPr>
      </w:pPr>
      <w:r>
        <w:rPr>
          <w:b/>
          <w:sz w:val="24"/>
          <w:szCs w:val="24"/>
        </w:rPr>
        <w:t>Entscheidungsgründe</w:t>
      </w:r>
    </w:p>
    <w:p w:rsidR="00701552" w:rsidRDefault="00701552" w:rsidP="00701552">
      <w:pPr>
        <w:spacing w:before="360" w:line="360" w:lineRule="auto"/>
        <w:ind w:left="720"/>
        <w:jc w:val="both"/>
        <w:rPr>
          <w:sz w:val="24"/>
        </w:rPr>
      </w:pPr>
      <w:r>
        <w:rPr>
          <w:noProof/>
          <w:sz w:val="24"/>
        </w:rPr>
        <w:lastRenderedPageBreak/>
        <mc:AlternateContent>
          <mc:Choice Requires="wps">
            <w:drawing>
              <wp:anchor distT="0" distB="0" distL="114300" distR="114300" simplePos="0" relativeHeight="251680768" behindDoc="0" locked="0" layoutInCell="1" allowOverlap="1" wp14:anchorId="63FD0ADE" wp14:editId="7D96C67A">
                <wp:simplePos x="0" y="0"/>
                <wp:positionH relativeFrom="column">
                  <wp:posOffset>-6985</wp:posOffset>
                </wp:positionH>
                <wp:positionV relativeFrom="paragraph">
                  <wp:posOffset>58420</wp:posOffset>
                </wp:positionV>
                <wp:extent cx="269875" cy="349885"/>
                <wp:effectExtent l="0" t="1270" r="0" b="1270"/>
                <wp:wrapNone/>
                <wp:docPr id="25" name="Textfeld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349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5" o:spid="_x0000_s1047" type="#_x0000_t202" style="position:absolute;left:0;text-align:left;margin-left:-.55pt;margin-top:4.6pt;width:21.2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" stroked="f">
                <v:textbox inset="0,0,0,0">
                  <w:txbxContent>
                    <w:p w:rsidR="00701552" w:rsidRDefault="00701552" w:rsidP="00701552">
                      <w:r>
                        <w:fldChar w:fldCharType="begin"/>
                      </w:r>
                      <w:r>
                        <w:instrText xml:space="preserve"> SEQ \a </w:instrText>
                      </w:r>
                      <w:r>
                        <w:fldChar w:fldCharType="separate"/>
                      </w:r>
                      <w:r>
                        <w:rPr>
                          <w:noProof/>
                        </w:rPr>
                        <w:t>20</w:t>
                      </w:r>
                      <w:r>
                        <w:fldChar w:fldCharType="end"/>
                      </w:r>
                    </w:p>
                  </w:txbxContent>
                </v:textbox>
              </v:shape>
            </w:pict>
          </mc:Fallback>
        </mc:AlternateContent>
      </w:r>
      <w:r w:rsidRPr="00ED54B7">
        <w:rPr>
          <w:sz w:val="24"/>
        </w:rPr>
        <w:t xml:space="preserve">Die zulässige Berufung ist </w:t>
      </w:r>
      <w:r>
        <w:rPr>
          <w:sz w:val="24"/>
        </w:rPr>
        <w:t xml:space="preserve">in dem aus dem Tenor ersichtlichen Umfang </w:t>
      </w:r>
      <w:r w:rsidRPr="00ED54B7">
        <w:rPr>
          <w:sz w:val="24"/>
        </w:rPr>
        <w:t>begründet</w:t>
      </w:r>
      <w:r>
        <w:rPr>
          <w:sz w:val="24"/>
        </w:rPr>
        <w:t>.</w:t>
      </w:r>
      <w:r w:rsidRPr="00ED54B7">
        <w:rPr>
          <w:sz w:val="24"/>
        </w:rPr>
        <w:t xml:space="preserve"> </w:t>
      </w:r>
      <w:r>
        <w:rPr>
          <w:sz w:val="24"/>
        </w:rPr>
        <w:t>Soweit sich die Klage gegen den Beklagten zu 1 richtet, hat das Verwaltungsgericht sie im Ergebnis zu Recht abgewiesen (A). Soweit sich die Klage gegen die Beklagte zu 2 richtet, hat der Kläger Anspruch auf die im Tenor getroffene Feststellung der Rechtswidrigkeit des Wahlvorschlags des Hochschulrates vom 4. März 2010; lediglich in diesem Umfang war das Urteil des Verwaltungsgerichts zu ändern (B).</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81792" behindDoc="0" locked="0" layoutInCell="1" allowOverlap="1" wp14:anchorId="5F581D77" wp14:editId="526F397E">
                <wp:simplePos x="0" y="0"/>
                <wp:positionH relativeFrom="column">
                  <wp:posOffset>-6985</wp:posOffset>
                </wp:positionH>
                <wp:positionV relativeFrom="paragraph">
                  <wp:posOffset>254442</wp:posOffset>
                </wp:positionV>
                <wp:extent cx="269875" cy="179705"/>
                <wp:effectExtent l="0" t="0" r="0" b="0"/>
                <wp:wrapNone/>
                <wp:docPr id="24" name="Textfeld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4" o:spid="_x0000_s1048" type="#_x0000_t202" style="position:absolute;left:0;text-align:left;margin-left:-.55pt;margin-top:20.05pt;width:21.2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xxs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21</w:t>
                      </w:r>
                      <w:r>
                        <w:fldChar w:fldCharType="end"/>
                      </w:r>
                    </w:p>
                  </w:txbxContent>
                </v:textbox>
              </v:shape>
            </w:pict>
          </mc:Fallback>
        </mc:AlternateContent>
      </w:r>
      <w:r>
        <w:rPr>
          <w:sz w:val="24"/>
        </w:rPr>
        <w:t>A. Die Klage gegen den Beklagten zu 1 ist unzulässig (geworden). Nachdem sich das Klageziel, die Ernennung des Beigeladenen aufgrund der am 30. April 2010 durchg</w:t>
      </w:r>
      <w:r>
        <w:rPr>
          <w:sz w:val="24"/>
        </w:rPr>
        <w:t>e</w:t>
      </w:r>
      <w:r>
        <w:rPr>
          <w:sz w:val="24"/>
        </w:rPr>
        <w:t>führten Rektorenwahl zu verhindern, durch die Wiederholung der Wahl und nachfo</w:t>
      </w:r>
      <w:r>
        <w:rPr>
          <w:sz w:val="24"/>
        </w:rPr>
        <w:t>l</w:t>
      </w:r>
      <w:r>
        <w:rPr>
          <w:sz w:val="24"/>
        </w:rPr>
        <w:t>gende Ernennung des Beigeladenen erledigt hatte, stellte das Verwaltungsgericht das Verfahren aufgrund der übereinstimmenden Erledigungserklärungen der Beteiligten insoweit ein. Der Kläger begehrte im verwaltungsgerichtlichen Verfahren zuletzt noch die Feststellung der Rechtswidrigkeit des Wahlvorschlags vom 4. März 2010 und der Wahl vom 30. März 2010 (vgl. Niederschrift der mündlichen Verhandlung vom 2. September 2011). Dieses Klageziel war indessen ausschließlich gegenüber der B</w:t>
      </w:r>
      <w:r>
        <w:rPr>
          <w:sz w:val="24"/>
        </w:rPr>
        <w:t>e</w:t>
      </w:r>
      <w:r>
        <w:rPr>
          <w:sz w:val="24"/>
        </w:rPr>
        <w:t>klagten zu 2 geltend zu machen. Der Beklagte zu 1 war lediglich im Hinblick auf den erledigten Teil des Streitgegenstands der richtige Klagegegner, da er die Ernennung vorgenommen hätte, die der Kläger verhindern wollte. Der Kläger hat gegen den B</w:t>
      </w:r>
      <w:r>
        <w:rPr>
          <w:sz w:val="24"/>
        </w:rPr>
        <w:t>e</w:t>
      </w:r>
      <w:r>
        <w:rPr>
          <w:sz w:val="24"/>
        </w:rPr>
        <w:t>klagten zu 1 unter keinem rechtlichen Gesichtspunkt einen Anspruch auf Fes</w:t>
      </w:r>
      <w:r>
        <w:rPr>
          <w:sz w:val="24"/>
        </w:rPr>
        <w:t>t</w:t>
      </w:r>
      <w:r>
        <w:rPr>
          <w:sz w:val="24"/>
        </w:rPr>
        <w:t>stellung der Rechtswidrigkeit des Wahlvorschlags des Hochschulrates der Beklagten zu 2 vom 4. März 2010 und der folgenden Wahl des Beigeladenen durch den Erweite</w:t>
      </w:r>
      <w:r>
        <w:rPr>
          <w:sz w:val="24"/>
        </w:rPr>
        <w:t>r</w:t>
      </w:r>
      <w:r>
        <w:rPr>
          <w:sz w:val="24"/>
        </w:rPr>
        <w:t>ten Senat bei der Beklagten zu 2 am 30. April 2010. Weder die Erstellung des Wahlvorschlags noch die nachfolgende Wahl des Rektors sind dem Beklagten zu 1 rechtlich zureche</w:t>
      </w:r>
      <w:r>
        <w:rPr>
          <w:sz w:val="24"/>
        </w:rPr>
        <w:t>n</w:t>
      </w:r>
      <w:r>
        <w:rPr>
          <w:sz w:val="24"/>
        </w:rPr>
        <w:t>bar. Sowohl der Hochschulrat wie auch der Erweiterte Senat sind Organe der Bekla</w:t>
      </w:r>
      <w:r>
        <w:rPr>
          <w:sz w:val="24"/>
        </w:rPr>
        <w:t>g</w:t>
      </w:r>
      <w:r>
        <w:rPr>
          <w:sz w:val="24"/>
        </w:rPr>
        <w:t xml:space="preserve">ten zu 2 (vgl. §§ 81a, 86 </w:t>
      </w:r>
      <w:proofErr w:type="spellStart"/>
      <w:r>
        <w:rPr>
          <w:sz w:val="24"/>
        </w:rPr>
        <w:t>SächsHSG</w:t>
      </w:r>
      <w:proofErr w:type="spellEnd"/>
      <w:r>
        <w:rPr>
          <w:sz w:val="24"/>
        </w:rPr>
        <w:t xml:space="preserve"> i. d. bis 31. Dezember 2010 geltenden Fassung; ebenso §§ 81a, 86 </w:t>
      </w:r>
      <w:proofErr w:type="spellStart"/>
      <w:r>
        <w:rPr>
          <w:sz w:val="24"/>
        </w:rPr>
        <w:t>SächsHSFG</w:t>
      </w:r>
      <w:proofErr w:type="spellEnd"/>
      <w:r>
        <w:rPr>
          <w:sz w:val="24"/>
        </w:rPr>
        <w:t>). Hieran ändert nichts, dass die Mitglieder des Hoc</w:t>
      </w:r>
      <w:r>
        <w:rPr>
          <w:sz w:val="24"/>
        </w:rPr>
        <w:t>h</w:t>
      </w:r>
      <w:r>
        <w:rPr>
          <w:sz w:val="24"/>
        </w:rPr>
        <w:t>schulrates zu einem Teil vom SMWK benannt werden. Soweit die Rechtmäßigkeit des Handelns dieser Organe im Streit steht, kann dies deshalb nur gegenüber deren Rechtsträger, der Beklagten zu 2, geltend gemacht we</w:t>
      </w:r>
      <w:r>
        <w:rPr>
          <w:sz w:val="24"/>
        </w:rPr>
        <w:t>r</w:t>
      </w:r>
      <w:r>
        <w:rPr>
          <w:sz w:val="24"/>
        </w:rPr>
        <w:t>den.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82816" behindDoc="0" locked="0" layoutInCell="1" allowOverlap="1" wp14:anchorId="1B60B644" wp14:editId="683D0D44">
                <wp:simplePos x="0" y="0"/>
                <wp:positionH relativeFrom="column">
                  <wp:posOffset>-6985</wp:posOffset>
                </wp:positionH>
                <wp:positionV relativeFrom="paragraph">
                  <wp:posOffset>228600</wp:posOffset>
                </wp:positionV>
                <wp:extent cx="269875" cy="179705"/>
                <wp:effectExtent l="0" t="1905" r="0" b="0"/>
                <wp:wrapNone/>
                <wp:docPr id="23" name="Textfeld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3" o:spid="_x0000_s1049" type="#_x0000_t202" style="position:absolute;left:0;text-align:left;margin-left:-.55pt;margin-top:18pt;width:21.2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jtvVgfQIAAAg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22</w:t>
                      </w:r>
                      <w:r>
                        <w:fldChar w:fldCharType="end"/>
                      </w:r>
                    </w:p>
                  </w:txbxContent>
                </v:textbox>
              </v:shape>
            </w:pict>
          </mc:Fallback>
        </mc:AlternateContent>
      </w:r>
      <w:r>
        <w:rPr>
          <w:sz w:val="24"/>
        </w:rPr>
        <w:t>B. Die Klage gegen die Beklagte zu 2 hat Erfolg, soweit sie zulässig (1) und begründet ist (2).</w:t>
      </w:r>
    </w:p>
    <w:p w:rsidR="00701552" w:rsidRDefault="00701552" w:rsidP="00701552">
      <w:pPr>
        <w:spacing w:before="360" w:line="360" w:lineRule="auto"/>
        <w:ind w:left="720"/>
        <w:jc w:val="both"/>
        <w:rPr>
          <w:sz w:val="24"/>
        </w:rPr>
      </w:pPr>
      <w:r>
        <w:rPr>
          <w:noProof/>
          <w:sz w:val="24"/>
        </w:rPr>
        <w:lastRenderedPageBreak/>
        <mc:AlternateContent>
          <mc:Choice Requires="wps">
            <w:drawing>
              <wp:anchor distT="0" distB="0" distL="114300" distR="114300" simplePos="0" relativeHeight="251683840" behindDoc="0" locked="0" layoutInCell="1" allowOverlap="1" wp14:anchorId="0932DD3F" wp14:editId="7F5E70CE">
                <wp:simplePos x="0" y="0"/>
                <wp:positionH relativeFrom="column">
                  <wp:posOffset>-46742</wp:posOffset>
                </wp:positionH>
                <wp:positionV relativeFrom="paragraph">
                  <wp:posOffset>-23026</wp:posOffset>
                </wp:positionV>
                <wp:extent cx="269875" cy="179705"/>
                <wp:effectExtent l="0" t="0" r="0" b="0"/>
                <wp:wrapNone/>
                <wp:docPr id="22" name="Textfeld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2" o:spid="_x0000_s1050" type="#_x0000_t202" style="position:absolute;left:0;text-align:left;margin-left:-3.7pt;margin-top:-1.8pt;width:21.2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12H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" stroked="f">
                <v:textbox inset="0,0,0,0">
                  <w:txbxContent>
                    <w:p w:rsidR="00701552" w:rsidRDefault="00701552" w:rsidP="00701552">
                      <w:r>
                        <w:fldChar w:fldCharType="begin"/>
                      </w:r>
                      <w:r>
                        <w:instrText xml:space="preserve"> SEQ \a </w:instrText>
                      </w:r>
                      <w:r>
                        <w:fldChar w:fldCharType="separate"/>
                      </w:r>
                      <w:r>
                        <w:rPr>
                          <w:noProof/>
                        </w:rPr>
                        <w:t>23</w:t>
                      </w:r>
                      <w:r>
                        <w:fldChar w:fldCharType="end"/>
                      </w:r>
                    </w:p>
                  </w:txbxContent>
                </v:textbox>
              </v:shape>
            </w:pict>
          </mc:Fallback>
        </mc:AlternateContent>
      </w:r>
      <w:r>
        <w:rPr>
          <w:sz w:val="24"/>
        </w:rPr>
        <w:t>1. Die Klage ist als Feststellungsklage (§ 43 Abs. 1 VwGO) statthaft.</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84864" behindDoc="0" locked="0" layoutInCell="1" allowOverlap="1" wp14:anchorId="651A9482" wp14:editId="47C01ADD">
                <wp:simplePos x="0" y="0"/>
                <wp:positionH relativeFrom="column">
                  <wp:posOffset>-6985</wp:posOffset>
                </wp:positionH>
                <wp:positionV relativeFrom="paragraph">
                  <wp:posOffset>228600</wp:posOffset>
                </wp:positionV>
                <wp:extent cx="269875" cy="179705"/>
                <wp:effectExtent l="0" t="0" r="0" b="1270"/>
                <wp:wrapNone/>
                <wp:docPr id="21" name="Textfeld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1" o:spid="_x0000_s1051" type="#_x0000_t202" style="position:absolute;left:0;text-align:left;margin-left:-.55pt;margin-top:18pt;width:21.25pt;height:1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FUtELR8AgAACAUA&#10;AA4AAAAAAAAAAAAAAAAALgIAAGRycy9lMm9Eb2MueG1sUEsBAi0AFAAGAAgAAAAhAKjFb6HdAAAA&#10;BwEAAA8AAAAAAAAAAAAAAAAA1gQAAGRycy9kb3ducmV2LnhtbFBLBQYAAAAABAAEAPMAAADgBQAA&#10;AAA=&#10;" stroked="f">
                <v:textbox inset="0,0,0,0">
                  <w:txbxContent>
                    <w:p w:rsidR="00701552" w:rsidRDefault="00701552" w:rsidP="00701552">
                      <w:r>
                        <w:fldChar w:fldCharType="begin"/>
                      </w:r>
                      <w:r>
                        <w:instrText xml:space="preserve"> SEQ \a </w:instrText>
                      </w:r>
                      <w:r>
                        <w:fldChar w:fldCharType="separate"/>
                      </w:r>
                      <w:r>
                        <w:rPr>
                          <w:noProof/>
                        </w:rPr>
                        <w:t>24</w:t>
                      </w:r>
                      <w:r>
                        <w:fldChar w:fldCharType="end"/>
                      </w:r>
                    </w:p>
                  </w:txbxContent>
                </v:textbox>
              </v:shape>
            </w:pict>
          </mc:Fallback>
        </mc:AlternateContent>
      </w:r>
      <w:r>
        <w:rPr>
          <w:sz w:val="24"/>
        </w:rPr>
        <w:t>a) Eine Fortsetzungsfeststellungsklage nach § 113 Abs. 1 Satz 4 VwGO - wie sie das Verwaltungsgericht angenommen hat - scheidet aus, da sie voraussetzt, dass sich ein Verwaltungsakt während des gerichtlichen Verfahrens durch Zurücknahme oder anders erledigt. Weder die Rektorenwahl noch der ihr zugrunde liegende Wahlvo</w:t>
      </w:r>
      <w:r>
        <w:rPr>
          <w:sz w:val="24"/>
        </w:rPr>
        <w:t>r</w:t>
      </w:r>
      <w:r>
        <w:rPr>
          <w:sz w:val="24"/>
        </w:rPr>
        <w:t xml:space="preserve">schlag stellen indessen Verwaltungsakte i. S. v. § 35 VwVfG i. V. m. § 1 </w:t>
      </w:r>
      <w:proofErr w:type="spellStart"/>
      <w:r>
        <w:rPr>
          <w:sz w:val="24"/>
        </w:rPr>
        <w:t>Säch</w:t>
      </w:r>
      <w:r>
        <w:rPr>
          <w:sz w:val="24"/>
        </w:rPr>
        <w:t>s</w:t>
      </w:r>
      <w:r>
        <w:rPr>
          <w:sz w:val="24"/>
        </w:rPr>
        <w:t>VwVfZG</w:t>
      </w:r>
      <w:proofErr w:type="spellEnd"/>
      <w:r>
        <w:rPr>
          <w:sz w:val="24"/>
        </w:rPr>
        <w:t xml:space="preserve"> dar. Beide Handlungen sind vielmehr als vorbereitende Verfahrensschritte bzw. Inne</w:t>
      </w:r>
      <w:r>
        <w:rPr>
          <w:sz w:val="24"/>
        </w:rPr>
        <w:t>n</w:t>
      </w:r>
      <w:r>
        <w:rPr>
          <w:sz w:val="24"/>
        </w:rPr>
        <w:t xml:space="preserve">rechts-/Wahlakte im Rahmen der beabsichtigten Ernennung zu werten (vgl. Kopp/Schenke, VwGO, 19. Aufl., § 113 </w:t>
      </w:r>
      <w:proofErr w:type="spellStart"/>
      <w:r>
        <w:rPr>
          <w:sz w:val="24"/>
        </w:rPr>
        <w:t>Rn</w:t>
      </w:r>
      <w:proofErr w:type="spellEnd"/>
      <w:r>
        <w:rPr>
          <w:sz w:val="24"/>
        </w:rPr>
        <w:t xml:space="preserve">. 114, 116). Wie der Senat bereits für das Auswahlverfahren in einem beamtenrechtlichen </w:t>
      </w:r>
      <w:proofErr w:type="spellStart"/>
      <w:r>
        <w:rPr>
          <w:sz w:val="24"/>
        </w:rPr>
        <w:t>Konkurrentenstreit</w:t>
      </w:r>
      <w:proofErr w:type="spellEnd"/>
      <w:r>
        <w:rPr>
          <w:sz w:val="24"/>
        </w:rPr>
        <w:t xml:space="preserve"> im Hochschulb</w:t>
      </w:r>
      <w:r>
        <w:rPr>
          <w:sz w:val="24"/>
        </w:rPr>
        <w:t>e</w:t>
      </w:r>
      <w:r>
        <w:rPr>
          <w:sz w:val="24"/>
        </w:rPr>
        <w:t>reich entschieden hat</w:t>
      </w:r>
      <w:r w:rsidRPr="00FC678A">
        <w:rPr>
          <w:sz w:val="24"/>
        </w:rPr>
        <w:t xml:space="preserve"> </w:t>
      </w:r>
      <w:r>
        <w:rPr>
          <w:sz w:val="24"/>
        </w:rPr>
        <w:t xml:space="preserve">(vgl. </w:t>
      </w:r>
      <w:proofErr w:type="spellStart"/>
      <w:r>
        <w:rPr>
          <w:sz w:val="24"/>
        </w:rPr>
        <w:t>Senatsbeschl</w:t>
      </w:r>
      <w:proofErr w:type="spellEnd"/>
      <w:r>
        <w:rPr>
          <w:sz w:val="24"/>
        </w:rPr>
        <w:t xml:space="preserve">. v. 4. August 2011 - 2 B 34/11 -, </w:t>
      </w:r>
      <w:proofErr w:type="spellStart"/>
      <w:r>
        <w:rPr>
          <w:sz w:val="24"/>
        </w:rPr>
        <w:t>juris</w:t>
      </w:r>
      <w:proofErr w:type="spellEnd"/>
      <w:r>
        <w:rPr>
          <w:sz w:val="24"/>
        </w:rPr>
        <w:t xml:space="preserve"> </w:t>
      </w:r>
      <w:proofErr w:type="spellStart"/>
      <w:r>
        <w:rPr>
          <w:sz w:val="24"/>
        </w:rPr>
        <w:t>Rn</w:t>
      </w:r>
      <w:proofErr w:type="spellEnd"/>
      <w:r>
        <w:rPr>
          <w:sz w:val="24"/>
        </w:rPr>
        <w:t>. 9), stellt lediglich die Ernennung selbst einen Verwaltungsakt dar, nicht dagegen die di</w:t>
      </w:r>
      <w:r>
        <w:rPr>
          <w:sz w:val="24"/>
        </w:rPr>
        <w:t>e</w:t>
      </w:r>
      <w:r>
        <w:rPr>
          <w:sz w:val="24"/>
        </w:rPr>
        <w:t>ser vorausgehende Auswahlentscheidung. Auch die Mitteilung der getroffenen Au</w:t>
      </w:r>
      <w:r>
        <w:rPr>
          <w:sz w:val="24"/>
        </w:rPr>
        <w:t>s</w:t>
      </w:r>
      <w:r>
        <w:rPr>
          <w:sz w:val="24"/>
        </w:rPr>
        <w:t>wahlentscheidung sowie der beabsichtigten Ernennung des Konkurrenten enthält u</w:t>
      </w:r>
      <w:r>
        <w:rPr>
          <w:sz w:val="24"/>
        </w:rPr>
        <w:t>n</w:t>
      </w:r>
      <w:r>
        <w:rPr>
          <w:sz w:val="24"/>
        </w:rPr>
        <w:t>mittelbar keine Regelung; sie informiert lediglich über die verwaltungsintern bereits getroffene Entscheidung sowie über deren beabsichtigte künftige Umsetzung. Ausg</w:t>
      </w:r>
      <w:r>
        <w:rPr>
          <w:sz w:val="24"/>
        </w:rPr>
        <w:t>e</w:t>
      </w:r>
      <w:r>
        <w:rPr>
          <w:sz w:val="24"/>
        </w:rPr>
        <w:t>hend von dieser Rechtsprechung, an der der Senat festhält, kommt vorliegend der vom Erweiterten Senat vorgenommenen Wahl, die an die Stelle der Auswahlentscheidung tritt, keine Verwaltungsaktqualität zu. Gleiches gilt für den die Wahl vorbereitenden Wahlvorschlag des Hochschulrats, der lediglich einen Zwischenschritt im Auswah</w:t>
      </w:r>
      <w:r>
        <w:rPr>
          <w:sz w:val="24"/>
        </w:rPr>
        <w:t>l</w:t>
      </w:r>
      <w:r>
        <w:rPr>
          <w:sz w:val="24"/>
        </w:rPr>
        <w:t>verfahren darstellt.</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85888" behindDoc="0" locked="0" layoutInCell="1" allowOverlap="1" wp14:anchorId="2FD36FBF" wp14:editId="5D72B599">
                <wp:simplePos x="0" y="0"/>
                <wp:positionH relativeFrom="column">
                  <wp:posOffset>-6985</wp:posOffset>
                </wp:positionH>
                <wp:positionV relativeFrom="paragraph">
                  <wp:posOffset>228600</wp:posOffset>
                </wp:positionV>
                <wp:extent cx="269875" cy="179705"/>
                <wp:effectExtent l="0" t="3810" r="0" b="0"/>
                <wp:wrapNone/>
                <wp:docPr id="20" name="Textfeld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0" o:spid="_x0000_s1052" type="#_x0000_t202" style="position:absolute;left:0;text-align:left;margin-left:-.55pt;margin-top:18pt;width:21.2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GLefQ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u4GLefQIAAAg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25</w:t>
                      </w:r>
                      <w:r>
                        <w:fldChar w:fldCharType="end"/>
                      </w:r>
                    </w:p>
                  </w:txbxContent>
                </v:textbox>
              </v:shape>
            </w:pict>
          </mc:Fallback>
        </mc:AlternateContent>
      </w:r>
      <w:r>
        <w:rPr>
          <w:sz w:val="24"/>
        </w:rPr>
        <w:t>Da somit eine Fortsetzungsfeststellungsklage ausscheidet und auch eine Leistungskl</w:t>
      </w:r>
      <w:r>
        <w:rPr>
          <w:sz w:val="24"/>
        </w:rPr>
        <w:t>a</w:t>
      </w:r>
      <w:r>
        <w:rPr>
          <w:sz w:val="24"/>
        </w:rPr>
        <w:t>ge nicht in Betracht kommt, ist die Feststellungsklage nicht wegen des Gebots der Subsidiarität (§ 43 Abs. 2 VwGO) ausgeschlossen.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86912" behindDoc="0" locked="0" layoutInCell="1" allowOverlap="1" wp14:anchorId="14AD85CD" wp14:editId="5FF2CD6E">
                <wp:simplePos x="0" y="0"/>
                <wp:positionH relativeFrom="column">
                  <wp:posOffset>-6985</wp:posOffset>
                </wp:positionH>
                <wp:positionV relativeFrom="paragraph">
                  <wp:posOffset>228600</wp:posOffset>
                </wp:positionV>
                <wp:extent cx="269875" cy="179705"/>
                <wp:effectExtent l="0" t="1905" r="0" b="0"/>
                <wp:wrapNone/>
                <wp:docPr id="19" name="Textfeld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9" o:spid="_x0000_s1053" type="#_x0000_t202" style="position:absolute;left:0;text-align:left;margin-left:-.55pt;margin-top:18pt;width:21.25pt;height:1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t9E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C0rfRH4CAAAI&#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26</w:t>
                      </w:r>
                      <w:r>
                        <w:fldChar w:fldCharType="end"/>
                      </w:r>
                    </w:p>
                  </w:txbxContent>
                </v:textbox>
              </v:shape>
            </w:pict>
          </mc:Fallback>
        </mc:AlternateContent>
      </w:r>
      <w:r>
        <w:rPr>
          <w:sz w:val="24"/>
        </w:rPr>
        <w:t xml:space="preserve">b) Die Klage ist auf die </w:t>
      </w:r>
      <w:r w:rsidRPr="005C14E5">
        <w:rPr>
          <w:sz w:val="24"/>
        </w:rPr>
        <w:t xml:space="preserve">Feststellung des Bestehens </w:t>
      </w:r>
      <w:r>
        <w:rPr>
          <w:sz w:val="24"/>
        </w:rPr>
        <w:t>e</w:t>
      </w:r>
      <w:r w:rsidRPr="005C14E5">
        <w:rPr>
          <w:sz w:val="24"/>
        </w:rPr>
        <w:t>ines hinreichend konkreten Rechtsverhältnisses</w:t>
      </w:r>
      <w:r>
        <w:rPr>
          <w:sz w:val="24"/>
        </w:rPr>
        <w:t xml:space="preserve"> gerichtet.</w:t>
      </w:r>
      <w:r w:rsidRPr="005C14E5">
        <w:rPr>
          <w:sz w:val="24"/>
        </w:rPr>
        <w:t xml:space="preserve"> </w:t>
      </w:r>
      <w:r>
        <w:rPr>
          <w:sz w:val="24"/>
        </w:rPr>
        <w:t xml:space="preserve">Der Kläger hatte sich </w:t>
      </w:r>
      <w:r w:rsidRPr="005C14E5">
        <w:rPr>
          <w:sz w:val="24"/>
        </w:rPr>
        <w:t xml:space="preserve">für die </w:t>
      </w:r>
      <w:r>
        <w:rPr>
          <w:sz w:val="24"/>
        </w:rPr>
        <w:t>Stelle des Rektors der Beklagten zu 2 beworben und am nachfolgenden Auswahlverfahren als Bewerber teilg</w:t>
      </w:r>
      <w:r>
        <w:rPr>
          <w:sz w:val="24"/>
        </w:rPr>
        <w:t>e</w:t>
      </w:r>
      <w:r>
        <w:rPr>
          <w:sz w:val="24"/>
        </w:rPr>
        <w:t xml:space="preserve">nommen. Mit seiner Klage begehrt er die Feststellung, dass seine Nichtaufnahme in den Wahlvorschlag des Hochschulrats rechtswidrig war, ebenso wie die auf der Basis dieses Vorschlags nachfolgend durchgeführte Wahl. </w:t>
      </w:r>
      <w:r w:rsidRPr="005C14E5">
        <w:rPr>
          <w:sz w:val="24"/>
        </w:rPr>
        <w:t xml:space="preserve">Das Rechtsverhältnis gründet sich damit letztlich auf den </w:t>
      </w:r>
      <w:r>
        <w:rPr>
          <w:sz w:val="24"/>
        </w:rPr>
        <w:t>Bewerbungsverfahrensa</w:t>
      </w:r>
      <w:r w:rsidRPr="005C14E5">
        <w:rPr>
          <w:sz w:val="24"/>
        </w:rPr>
        <w:t>nspruch des Klägers</w:t>
      </w:r>
      <w:r>
        <w:rPr>
          <w:sz w:val="24"/>
        </w:rPr>
        <w:t xml:space="preserve">, </w:t>
      </w:r>
      <w:r>
        <w:rPr>
          <w:sz w:val="24"/>
        </w:rPr>
        <w:lastRenderedPageBreak/>
        <w:t>gerichtet auf die Durchführung eines ordnungsgemäßen und fairen Bewerbungs- und Auswahlverfa</w:t>
      </w:r>
      <w:r>
        <w:rPr>
          <w:sz w:val="24"/>
        </w:rPr>
        <w:t>h</w:t>
      </w:r>
      <w:r>
        <w:rPr>
          <w:sz w:val="24"/>
        </w:rPr>
        <w:t>rens. Der Senat hat zu den Anforderungen an ein ordnungsgemäßes Auswahlverfahren in seiner Entscheidung im vorläufigen Rechtsschutz (Beschl. v. 2. August 2010 - 2 B 181/10 - a. a.</w:t>
      </w:r>
      <w:r>
        <w:t> </w:t>
      </w:r>
      <w:r>
        <w:rPr>
          <w:sz w:val="24"/>
        </w:rPr>
        <w:t xml:space="preserve">O. </w:t>
      </w:r>
      <w:proofErr w:type="spellStart"/>
      <w:r>
        <w:rPr>
          <w:sz w:val="24"/>
        </w:rPr>
        <w:t>Rn</w:t>
      </w:r>
      <w:proofErr w:type="spellEnd"/>
      <w:r>
        <w:rPr>
          <w:sz w:val="24"/>
        </w:rPr>
        <w:t>. 9) hierzu bereits wie folgt ausgeführt:</w:t>
      </w:r>
    </w:p>
    <w:p w:rsidR="00701552" w:rsidRDefault="00701552" w:rsidP="00701552">
      <w:pPr>
        <w:tabs>
          <w:tab w:val="left" w:pos="0"/>
        </w:tabs>
        <w:ind w:left="709"/>
        <w:jc w:val="both"/>
        <w:rPr>
          <w:sz w:val="24"/>
        </w:rPr>
      </w:pPr>
      <w:r>
        <w:rPr>
          <w:sz w:val="24"/>
        </w:rPr>
        <w:t xml:space="preserve">"Bei dem Amt eines Rektors einer Hochschule handelt es sich um ein öffentliches Amt im Sinne von Art. 33 Abs. 2 GG, Art. 91 Abs. 2 </w:t>
      </w:r>
      <w:proofErr w:type="spellStart"/>
      <w:r>
        <w:rPr>
          <w:sz w:val="24"/>
        </w:rPr>
        <w:t>SächsVerf</w:t>
      </w:r>
      <w:proofErr w:type="spellEnd"/>
      <w:r>
        <w:rPr>
          <w:sz w:val="24"/>
        </w:rPr>
        <w:t>, zu dem jeder Deutsche nach seiner Eignung, Befähigung und fachlichen Leistung gleichen Zugang hat. Die Feststellungen zu den Zugangskriterien, nämlich Leistung, Eignung und Befähigung, sind als persönlichkeitsbedingte Werturteile einer gerichtlichen Richtigkeitsprüfung weitgehend entzogen. Dieser weite Beurteilungsspielraum verlangt eine kompensator</w:t>
      </w:r>
      <w:r>
        <w:rPr>
          <w:sz w:val="24"/>
        </w:rPr>
        <w:t>i</w:t>
      </w:r>
      <w:r>
        <w:rPr>
          <w:sz w:val="24"/>
        </w:rPr>
        <w:t>sche Ausgestaltung des Verwaltungsverfahrens. Eine der Anforderungen an ein die Auswahlentscheidung vorbereitendes Verfahren der Entscheidungsfindung ist notwendigerweise, dass dieses möglichst ergebnisoffen ist, das heißt, dass keine Vo</w:t>
      </w:r>
      <w:r>
        <w:rPr>
          <w:sz w:val="24"/>
        </w:rPr>
        <w:t>r</w:t>
      </w:r>
      <w:r>
        <w:rPr>
          <w:sz w:val="24"/>
        </w:rPr>
        <w:t>abentscheidungen zugunsten eines Bewerbers stattfinden. Nur in diesem Fall kann davon ausgegangen werden, dass eine zutreffende, vom Beurteilungsspielraum g</w:t>
      </w:r>
      <w:r>
        <w:rPr>
          <w:sz w:val="24"/>
        </w:rPr>
        <w:t>e</w:t>
      </w:r>
      <w:r>
        <w:rPr>
          <w:sz w:val="24"/>
        </w:rPr>
        <w:t>deckte Bewertung der Kriterien der Eignung, Befähigung und fachlichen Leistung erfolgen wird (</w:t>
      </w:r>
      <w:proofErr w:type="spellStart"/>
      <w:r>
        <w:rPr>
          <w:sz w:val="24"/>
        </w:rPr>
        <w:t>SächsOVG</w:t>
      </w:r>
      <w:proofErr w:type="spellEnd"/>
      <w:r>
        <w:rPr>
          <w:sz w:val="24"/>
        </w:rPr>
        <w:t xml:space="preserve">, Beschl. v. 22. April 2010 - 2 B 55/10 -, </w:t>
      </w:r>
      <w:proofErr w:type="spellStart"/>
      <w:r>
        <w:rPr>
          <w:sz w:val="24"/>
        </w:rPr>
        <w:t>juris</w:t>
      </w:r>
      <w:proofErr w:type="spellEnd"/>
      <w:r>
        <w:rPr>
          <w:sz w:val="24"/>
        </w:rPr>
        <w:t>)."</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87936" behindDoc="0" locked="0" layoutInCell="1" allowOverlap="1" wp14:anchorId="00BFEB80" wp14:editId="5DBA4E9C">
                <wp:simplePos x="0" y="0"/>
                <wp:positionH relativeFrom="column">
                  <wp:posOffset>-6985</wp:posOffset>
                </wp:positionH>
                <wp:positionV relativeFrom="paragraph">
                  <wp:posOffset>228600</wp:posOffset>
                </wp:positionV>
                <wp:extent cx="269875" cy="179705"/>
                <wp:effectExtent l="0" t="635" r="0" b="635"/>
                <wp:wrapNone/>
                <wp:docPr id="18" name="Textfeld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8" o:spid="_x0000_s1054" type="#_x0000_t202" style="position:absolute;left:0;text-align:left;margin-left:-.55pt;margin-top:18pt;width:21.25pt;height:1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m1LNjfQIAAAg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27</w:t>
                      </w:r>
                      <w:r>
                        <w:fldChar w:fldCharType="end"/>
                      </w:r>
                    </w:p>
                  </w:txbxContent>
                </v:textbox>
              </v:shape>
            </w:pict>
          </mc:Fallback>
        </mc:AlternateContent>
      </w:r>
      <w:r>
        <w:rPr>
          <w:sz w:val="24"/>
        </w:rPr>
        <w:t>Hieran anknüpfend ergibt sich das konkrete Rechtsverhältnis aus der Verletzung des Bewerbungsverfahrensanspruchs durch die beanstandeten Vorbereitungsakte.</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88960" behindDoc="0" locked="0" layoutInCell="1" allowOverlap="1" wp14:anchorId="4F66B0F5" wp14:editId="319F76BB">
                <wp:simplePos x="0" y="0"/>
                <wp:positionH relativeFrom="column">
                  <wp:posOffset>-6985</wp:posOffset>
                </wp:positionH>
                <wp:positionV relativeFrom="paragraph">
                  <wp:posOffset>228600</wp:posOffset>
                </wp:positionV>
                <wp:extent cx="269875" cy="179705"/>
                <wp:effectExtent l="0" t="2540" r="0" b="0"/>
                <wp:wrapNone/>
                <wp:docPr id="17" name="Textfeld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7" o:spid="_x0000_s1055" type="#_x0000_t202" style="position:absolute;left:0;text-align:left;margin-left:-.55pt;margin-top:18pt;width:21.25pt;height:14.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xIQfgIAAAg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q+sSEH4CAAAI&#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28</w:t>
                      </w:r>
                      <w:r>
                        <w:fldChar w:fldCharType="end"/>
                      </w:r>
                    </w:p>
                  </w:txbxContent>
                </v:textbox>
              </v:shape>
            </w:pict>
          </mc:Fallback>
        </mc:AlternateContent>
      </w:r>
      <w:r>
        <w:rPr>
          <w:sz w:val="24"/>
        </w:rPr>
        <w:t>c) Das weiter erforderliche besondere Feststellungsinteresse liegt indessen nur vor, soweit der Kläger die Feststellung der Rechtswidrigkeit des Wahlvorschlags begehrt, nicht jedoch im Hinblick auf die ebenfalls begehrte Feststellung der Rechtswidrigkeit der Wahl.</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89984" behindDoc="0" locked="0" layoutInCell="1" allowOverlap="1" wp14:anchorId="4D9AA199" wp14:editId="4036573A">
                <wp:simplePos x="0" y="0"/>
                <wp:positionH relativeFrom="column">
                  <wp:posOffset>-6985</wp:posOffset>
                </wp:positionH>
                <wp:positionV relativeFrom="paragraph">
                  <wp:posOffset>228600</wp:posOffset>
                </wp:positionV>
                <wp:extent cx="269875" cy="179705"/>
                <wp:effectExtent l="0" t="0" r="0" b="4445"/>
                <wp:wrapNone/>
                <wp:docPr id="16" name="Textfeld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6" o:spid="_x0000_s1056" type="#_x0000_t202" style="position:absolute;left:0;text-align:left;margin-left:-.55pt;margin-top:18pt;width:21.25pt;height:14.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" stroked="f">
                <v:textbox inset="0,0,0,0">
                  <w:txbxContent>
                    <w:p w:rsidR="00701552" w:rsidRDefault="00701552" w:rsidP="00701552">
                      <w:r>
                        <w:fldChar w:fldCharType="begin"/>
                      </w:r>
                      <w:r>
                        <w:instrText xml:space="preserve"> SEQ \a </w:instrText>
                      </w:r>
                      <w:r>
                        <w:fldChar w:fldCharType="separate"/>
                      </w:r>
                      <w:r>
                        <w:rPr>
                          <w:noProof/>
                        </w:rPr>
                        <w:t>29</w:t>
                      </w:r>
                      <w:r>
                        <w:fldChar w:fldCharType="end"/>
                      </w:r>
                    </w:p>
                  </w:txbxContent>
                </v:textbox>
              </v:shape>
            </w:pict>
          </mc:Fallback>
        </mc:AlternateContent>
      </w:r>
      <w:proofErr w:type="spellStart"/>
      <w:r>
        <w:rPr>
          <w:sz w:val="24"/>
        </w:rPr>
        <w:t>aa</w:t>
      </w:r>
      <w:proofErr w:type="spellEnd"/>
      <w:r>
        <w:rPr>
          <w:sz w:val="24"/>
        </w:rPr>
        <w:t>) Gemäß § 43 Abs. 1 VwGO ist ein berechtigtes Interesse an der baldigen Festste</w:t>
      </w:r>
      <w:r>
        <w:rPr>
          <w:sz w:val="24"/>
        </w:rPr>
        <w:t>l</w:t>
      </w:r>
      <w:r>
        <w:rPr>
          <w:sz w:val="24"/>
        </w:rPr>
        <w:t>lung Voraussetzung für die Zulässigkeit. Nach überwiegender Auffassung ist das "b</w:t>
      </w:r>
      <w:r>
        <w:rPr>
          <w:sz w:val="24"/>
        </w:rPr>
        <w:t>e</w:t>
      </w:r>
      <w:r>
        <w:rPr>
          <w:sz w:val="24"/>
        </w:rPr>
        <w:t xml:space="preserve">rechtigte Interesse" im Rahmen der Feststellungsklage so auszulegen wie in § 113 Abs. 1 Satz 4 VwGO (vgl. Kopp/Schenke, VwGO, 19. Aufl., § 43 </w:t>
      </w:r>
      <w:proofErr w:type="spellStart"/>
      <w:r>
        <w:rPr>
          <w:sz w:val="24"/>
        </w:rPr>
        <w:t>Rn</w:t>
      </w:r>
      <w:proofErr w:type="spellEnd"/>
      <w:r>
        <w:rPr>
          <w:sz w:val="24"/>
        </w:rPr>
        <w:t xml:space="preserve">. 23 m. w. N.). Soweit das Bundesverwaltungsgericht in seinem Urteil vom 20. Januar 1989 (8 C 30.87 -, </w:t>
      </w:r>
      <w:proofErr w:type="spellStart"/>
      <w:r>
        <w:rPr>
          <w:sz w:val="24"/>
        </w:rPr>
        <w:t>juris</w:t>
      </w:r>
      <w:proofErr w:type="spellEnd"/>
      <w:r>
        <w:rPr>
          <w:sz w:val="24"/>
        </w:rPr>
        <w:t xml:space="preserve"> </w:t>
      </w:r>
      <w:proofErr w:type="spellStart"/>
      <w:r>
        <w:rPr>
          <w:sz w:val="24"/>
        </w:rPr>
        <w:t>Rn</w:t>
      </w:r>
      <w:proofErr w:type="spellEnd"/>
      <w:r>
        <w:rPr>
          <w:sz w:val="24"/>
        </w:rPr>
        <w:t>. 9) demgegenüber die Auffassung vertritt, an das Feststellungsint</w:t>
      </w:r>
      <w:r>
        <w:rPr>
          <w:sz w:val="24"/>
        </w:rPr>
        <w:t>e</w:t>
      </w:r>
      <w:r>
        <w:rPr>
          <w:sz w:val="24"/>
        </w:rPr>
        <w:t>resse seien im Rahmen von § 43 VwGO höhere Anforderungen zu stellen als in § 113 Abs. 1 Satz 4 VwGO, denen der Hinweis auf einen beabsichtigten Amtshaftungspr</w:t>
      </w:r>
      <w:r>
        <w:rPr>
          <w:sz w:val="24"/>
        </w:rPr>
        <w:t>o</w:t>
      </w:r>
      <w:r>
        <w:rPr>
          <w:sz w:val="24"/>
        </w:rPr>
        <w:t>zess nicht zu genügen vermöge, kommt es hierauf vorliegend nicht an: Auch das Bundesverwa</w:t>
      </w:r>
      <w:r>
        <w:rPr>
          <w:sz w:val="24"/>
        </w:rPr>
        <w:t>l</w:t>
      </w:r>
      <w:r>
        <w:rPr>
          <w:sz w:val="24"/>
        </w:rPr>
        <w:t xml:space="preserve">tungsgericht lässt in seinem Urteil vom 8. Dezember 1995 (8 C 37.93 -, </w:t>
      </w:r>
      <w:proofErr w:type="spellStart"/>
      <w:r>
        <w:rPr>
          <w:sz w:val="24"/>
        </w:rPr>
        <w:t>juris</w:t>
      </w:r>
      <w:proofErr w:type="spellEnd"/>
      <w:r>
        <w:rPr>
          <w:sz w:val="24"/>
        </w:rPr>
        <w:t xml:space="preserve"> </w:t>
      </w:r>
      <w:proofErr w:type="spellStart"/>
      <w:r>
        <w:rPr>
          <w:sz w:val="24"/>
        </w:rPr>
        <w:t>Rn</w:t>
      </w:r>
      <w:proofErr w:type="spellEnd"/>
      <w:r>
        <w:rPr>
          <w:sz w:val="24"/>
        </w:rPr>
        <w:t xml:space="preserve">. 24) für das berechtigte Interesse an einer alsbaldigen Feststellung ausnahmsweise dann den Hinweis auf die Geltendmachung von </w:t>
      </w:r>
      <w:r>
        <w:rPr>
          <w:sz w:val="24"/>
        </w:rPr>
        <w:lastRenderedPageBreak/>
        <w:t>Ersatzansprüchen gegen den Staat ausre</w:t>
      </w:r>
      <w:r>
        <w:rPr>
          <w:sz w:val="24"/>
        </w:rPr>
        <w:t>i</w:t>
      </w:r>
      <w:r>
        <w:rPr>
          <w:sz w:val="24"/>
        </w:rPr>
        <w:t>chen, wenn ein Kläger mit einer Feststellungs- oder allgemeinen Leistungsklage zunächst primären Rechtsschutz begehrt hat, sich dieses Begehren aber nach Klagee</w:t>
      </w:r>
      <w:r>
        <w:rPr>
          <w:sz w:val="24"/>
        </w:rPr>
        <w:t>r</w:t>
      </w:r>
      <w:r>
        <w:rPr>
          <w:sz w:val="24"/>
        </w:rPr>
        <w:t>hebung erledigt und der Kläger sich nunmehr nur noch auf die Geltendmachung von Ausgleichs- und Ersatzansprüchen verwiesen sieht. In diesem Fall genüge angesichts der bereits erfolgten Befassung des Verwaltungsgerichts mit dem primären Anspruch die präjudizielle Wirkung des Feststellungsurteils für einen Schadensersatz- oder Entschädigungsprozess vor den ordentlichen Geric</w:t>
      </w:r>
      <w:r>
        <w:rPr>
          <w:sz w:val="24"/>
        </w:rPr>
        <w:t>h</w:t>
      </w:r>
      <w:r>
        <w:rPr>
          <w:sz w:val="24"/>
        </w:rPr>
        <w:t>ten.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91008" behindDoc="0" locked="0" layoutInCell="1" allowOverlap="1" wp14:anchorId="7FBD3471" wp14:editId="1891D43B">
                <wp:simplePos x="0" y="0"/>
                <wp:positionH relativeFrom="column">
                  <wp:posOffset>-6985</wp:posOffset>
                </wp:positionH>
                <wp:positionV relativeFrom="paragraph">
                  <wp:posOffset>179705</wp:posOffset>
                </wp:positionV>
                <wp:extent cx="269875" cy="179705"/>
                <wp:effectExtent l="0" t="0" r="0" b="0"/>
                <wp:wrapNone/>
                <wp:docPr id="15" name="Textfeld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5" o:spid="_x0000_s1057" type="#_x0000_t202" style="position:absolute;left:0;text-align:left;margin-left:-.55pt;margin-top:14.15pt;width:21.25pt;height:1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30</w:t>
                      </w:r>
                      <w:r>
                        <w:fldChar w:fldCharType="end"/>
                      </w:r>
                    </w:p>
                  </w:txbxContent>
                </v:textbox>
              </v:shape>
            </w:pict>
          </mc:Fallback>
        </mc:AlternateContent>
      </w:r>
      <w:r>
        <w:rPr>
          <w:sz w:val="24"/>
        </w:rPr>
        <w:t>Dies zugrunde gelegt, hat sich das ursprüngliche, im Primärrechtsschutz geltend gemachte Leistungsbegehren des Klägers, die Ernennung seines Konkurrenten au</w:t>
      </w:r>
      <w:r>
        <w:rPr>
          <w:sz w:val="24"/>
        </w:rPr>
        <w:t>f</w:t>
      </w:r>
      <w:r>
        <w:rPr>
          <w:sz w:val="24"/>
        </w:rPr>
        <w:t>grund der am 30. April 2010 durchgeführten Wahl zu verhindern, nach Klageerhebung mit der Ernennung des Beigeladenen aufgrund der wiederholten Wahl erledigt. Für die Bejahung des Feststellungsinteresses reicht damit die Absicht der Geltendmachung e</w:t>
      </w:r>
      <w:r>
        <w:rPr>
          <w:sz w:val="24"/>
        </w:rPr>
        <w:t>i</w:t>
      </w:r>
      <w:r>
        <w:rPr>
          <w:sz w:val="24"/>
        </w:rPr>
        <w:t>nes Amtshaftungsanspruchs grundsätzlich aus, sofern dieser in Anlehnung an den Pr</w:t>
      </w:r>
      <w:r>
        <w:rPr>
          <w:sz w:val="24"/>
        </w:rPr>
        <w:t>ü</w:t>
      </w:r>
      <w:r>
        <w:rPr>
          <w:sz w:val="24"/>
        </w:rPr>
        <w:t>fungsmaßstab von § 113 Abs. 1 Satz 4 VwGO nicht als offensichtlich aussichtslos e</w:t>
      </w:r>
      <w:r>
        <w:rPr>
          <w:sz w:val="24"/>
        </w:rPr>
        <w:t>r</w:t>
      </w:r>
      <w:r>
        <w:rPr>
          <w:sz w:val="24"/>
        </w:rPr>
        <w:t xml:space="preserve">scheint (vgl. Kopp/Schenke, VwGO, a. a. O. § 113 </w:t>
      </w:r>
      <w:proofErr w:type="spellStart"/>
      <w:r>
        <w:rPr>
          <w:sz w:val="24"/>
        </w:rPr>
        <w:t>Rn</w:t>
      </w:r>
      <w:proofErr w:type="spellEnd"/>
      <w:r>
        <w:rPr>
          <w:sz w:val="24"/>
        </w:rPr>
        <w:t>. 136). Hiervon ist nur auszug</w:t>
      </w:r>
      <w:r>
        <w:rPr>
          <w:sz w:val="24"/>
        </w:rPr>
        <w:t>e</w:t>
      </w:r>
      <w:r>
        <w:rPr>
          <w:sz w:val="24"/>
        </w:rPr>
        <w:t>hen, wenn ohne eine ins Einzelne gehende Prüfung erkennbar ist, dass der behauptete Schadensersatz- oder Entschädigungsanspruch unter keinem rechtlichen Gesicht</w:t>
      </w:r>
      <w:r>
        <w:rPr>
          <w:sz w:val="24"/>
        </w:rPr>
        <w:t>s</w:t>
      </w:r>
      <w:r>
        <w:rPr>
          <w:sz w:val="24"/>
        </w:rPr>
        <w:t>punkt bestehen kann.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92032" behindDoc="0" locked="0" layoutInCell="1" allowOverlap="1" wp14:anchorId="2D87949B" wp14:editId="455CC87D">
                <wp:simplePos x="0" y="0"/>
                <wp:positionH relativeFrom="column">
                  <wp:posOffset>-6985</wp:posOffset>
                </wp:positionH>
                <wp:positionV relativeFrom="paragraph">
                  <wp:posOffset>228600</wp:posOffset>
                </wp:positionV>
                <wp:extent cx="269875" cy="179705"/>
                <wp:effectExtent l="0" t="635" r="0" b="635"/>
                <wp:wrapNone/>
                <wp:docPr id="14" name="Textfeld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4" o:spid="_x0000_s1058" type="#_x0000_t202" style="position:absolute;left:0;text-align:left;margin-left:-.55pt;margin-top:18pt;width:21.25pt;height:1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EkPzGn4CAAAI&#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31</w:t>
                      </w:r>
                      <w:r>
                        <w:fldChar w:fldCharType="end"/>
                      </w:r>
                    </w:p>
                  </w:txbxContent>
                </v:textbox>
              </v:shape>
            </w:pict>
          </mc:Fallback>
        </mc:AlternateContent>
      </w:r>
      <w:proofErr w:type="spellStart"/>
      <w:r>
        <w:rPr>
          <w:sz w:val="24"/>
        </w:rPr>
        <w:t>bb</w:t>
      </w:r>
      <w:proofErr w:type="spellEnd"/>
      <w:r>
        <w:rPr>
          <w:sz w:val="24"/>
        </w:rPr>
        <w:t>) Vorliegend erscheint ein Amtshaftungsanspruch nach diesen Maßstäben nicht als offensichtlich aussichtslos, soweit er auf die Rechtswidrigkeit des Wahlvorschlags gestützt wird. Der Kläger macht insoweit geltend, dass ihm die Kosten des auf die Ve</w:t>
      </w:r>
      <w:r>
        <w:rPr>
          <w:sz w:val="24"/>
        </w:rPr>
        <w:t>r</w:t>
      </w:r>
      <w:r>
        <w:rPr>
          <w:sz w:val="24"/>
        </w:rPr>
        <w:t>hinderung der Rektorenwahl vom 30. April 2010 gerichteten erstinstanzlichen Verfa</w:t>
      </w:r>
      <w:r>
        <w:rPr>
          <w:sz w:val="24"/>
        </w:rPr>
        <w:t>h</w:t>
      </w:r>
      <w:r>
        <w:rPr>
          <w:sz w:val="24"/>
        </w:rPr>
        <w:t>rens beim Verwaltungsgericht Chemnitz - 2 L 123/10 - nicht entstanden wären, wenn der Hochschulrat der Beklagten zu 2 keinen rechtswidrigen Wahlvorschlag erstellt hätte. Diese Argumentation erscheint hinreichend plausibel. Dem Kläger kann insb</w:t>
      </w:r>
      <w:r>
        <w:rPr>
          <w:sz w:val="24"/>
        </w:rPr>
        <w:t>e</w:t>
      </w:r>
      <w:r>
        <w:rPr>
          <w:sz w:val="24"/>
        </w:rPr>
        <w:t>sondere nicht zum Vorwurf gemacht werden, dass er vor der erstmaligen Inanspruc</w:t>
      </w:r>
      <w:r>
        <w:rPr>
          <w:sz w:val="24"/>
        </w:rPr>
        <w:t>h</w:t>
      </w:r>
      <w:r>
        <w:rPr>
          <w:sz w:val="24"/>
        </w:rPr>
        <w:t>nahme von Eilrechtsschutz nicht zunächst die Wahl abgewartet hat. Denn er konnte zu diesem Zeitpunkt nicht sicher sein, ob nicht im Anschluss an die Wahl unmittelbar die Erne</w:t>
      </w:r>
      <w:r>
        <w:rPr>
          <w:sz w:val="24"/>
        </w:rPr>
        <w:t>n</w:t>
      </w:r>
      <w:r>
        <w:rPr>
          <w:sz w:val="24"/>
        </w:rPr>
        <w:t>nung vorgenommen würde mit der Folge, dass Eilrechtsschutz im Nachgang zur Wahl möglicherweise zu spät gekommen wäre und eine bereits vorgenommene E</w:t>
      </w:r>
      <w:r>
        <w:rPr>
          <w:sz w:val="24"/>
        </w:rPr>
        <w:t>r</w:t>
      </w:r>
      <w:r>
        <w:rPr>
          <w:sz w:val="24"/>
        </w:rPr>
        <w:t xml:space="preserve">nennung wegen des Grundsatzes der Ämterstabilität nicht mehr </w:t>
      </w:r>
      <w:r>
        <w:rPr>
          <w:sz w:val="24"/>
        </w:rPr>
        <w:lastRenderedPageBreak/>
        <w:t>hätte rückgängig g</w:t>
      </w:r>
      <w:r>
        <w:rPr>
          <w:sz w:val="24"/>
        </w:rPr>
        <w:t>e</w:t>
      </w:r>
      <w:r>
        <w:rPr>
          <w:sz w:val="24"/>
        </w:rPr>
        <w:t xml:space="preserve">macht werden können. Das Urteil des Bundesverwaltungsgerichts vom 4. November 2010 (2 C 16.09, </w:t>
      </w:r>
      <w:proofErr w:type="spellStart"/>
      <w:r>
        <w:rPr>
          <w:sz w:val="24"/>
        </w:rPr>
        <w:t>juris</w:t>
      </w:r>
      <w:proofErr w:type="spellEnd"/>
      <w:r>
        <w:rPr>
          <w:sz w:val="24"/>
        </w:rPr>
        <w:t>), wonach ein unterlegener Bewerber seinen Bewerbungsverfa</w:t>
      </w:r>
      <w:r>
        <w:rPr>
          <w:sz w:val="24"/>
        </w:rPr>
        <w:t>h</w:t>
      </w:r>
      <w:r>
        <w:rPr>
          <w:sz w:val="24"/>
        </w:rPr>
        <w:t>rensanspruch durch eine Anfechtungsklage gegen die Ernennung weiterverfolgen kann, wenn er unter Verstoß gegen Art. 19 Abs. 4 GG an der Ausschöpfung seiner Rechtsschutzmöglichkeiten vor der Ernennung gehindert wurde, war bei Beantragung des Eilrechtsschutzes am 27. April 2010 noch nicht ergangen. Die Inanspruchnahme vorläufigen Rechtsschutzes zur Verhinderung der Wahl vom 30. April 2010 war aus diesem Grund nicht verfrüht, sondern aus Sicht des Klägers zur Wahrung seines A</w:t>
      </w:r>
      <w:r>
        <w:rPr>
          <w:sz w:val="24"/>
        </w:rPr>
        <w:t>n</w:t>
      </w:r>
      <w:r>
        <w:rPr>
          <w:sz w:val="24"/>
        </w:rPr>
        <w:t>spruchs geboten, zumal ein zuvor eingelegter Widerspruch bei der Beklagten zu 2 e</w:t>
      </w:r>
      <w:r>
        <w:rPr>
          <w:sz w:val="24"/>
        </w:rPr>
        <w:t>r</w:t>
      </w:r>
      <w:r>
        <w:rPr>
          <w:sz w:val="24"/>
        </w:rPr>
        <w:t>folglos geblieben war. Die aufgrund des erfolglos geführten Verwaltungsrechtsstreits entstandenen Kosten stellen grundsätzlich auch einen im Rahmen des Amtshaftung</w:t>
      </w:r>
      <w:r>
        <w:rPr>
          <w:sz w:val="24"/>
        </w:rPr>
        <w:t>s</w:t>
      </w:r>
      <w:r>
        <w:rPr>
          <w:sz w:val="24"/>
        </w:rPr>
        <w:t xml:space="preserve">anspruchs erstattungsfähigen Schaden dar (vgl. </w:t>
      </w:r>
      <w:proofErr w:type="spellStart"/>
      <w:r>
        <w:rPr>
          <w:sz w:val="24"/>
        </w:rPr>
        <w:t>BbgOLG</w:t>
      </w:r>
      <w:proofErr w:type="spellEnd"/>
      <w:r>
        <w:rPr>
          <w:sz w:val="24"/>
        </w:rPr>
        <w:t xml:space="preserve">, Urt. v. 10. November 2009 - 2 U 42/08 - und v. 3. August 2010 - 2 U 15/09 -, beide </w:t>
      </w:r>
      <w:proofErr w:type="spellStart"/>
      <w:r>
        <w:rPr>
          <w:sz w:val="24"/>
        </w:rPr>
        <w:t>juris</w:t>
      </w:r>
      <w:proofErr w:type="spellEnd"/>
      <w:r>
        <w:rPr>
          <w:sz w:val="24"/>
        </w:rPr>
        <w:t>). Auch an der Kausalität bestehen keine Zweifel. Der Kläger hat schließlich seine erstinstanzlich entstandenen Kosten dem Umfang nach hinreichend dargelegt. Auf ein mögliches Mitverschulden wegen seiner Antragstellung in der zweiten Instanz (Verfahren 2 B 145/10) dürfte es daher nicht ankommen. In welcher Höhe die geltend gemachten Kosten tatsächlich bei dem Kläger entstanden sind, wird im Amtshaftungspr</w:t>
      </w:r>
      <w:r>
        <w:rPr>
          <w:sz w:val="24"/>
        </w:rPr>
        <w:t>o</w:t>
      </w:r>
      <w:r>
        <w:rPr>
          <w:sz w:val="24"/>
        </w:rPr>
        <w:t xml:space="preserve">zess zu klären sein. </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93056" behindDoc="0" locked="0" layoutInCell="1" allowOverlap="1" wp14:anchorId="13843682" wp14:editId="522BDD8F">
                <wp:simplePos x="0" y="0"/>
                <wp:positionH relativeFrom="column">
                  <wp:posOffset>-6985</wp:posOffset>
                </wp:positionH>
                <wp:positionV relativeFrom="paragraph">
                  <wp:posOffset>228600</wp:posOffset>
                </wp:positionV>
                <wp:extent cx="269875" cy="179705"/>
                <wp:effectExtent l="0" t="0" r="0" b="2540"/>
                <wp:wrapNone/>
                <wp:docPr id="13"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3" o:spid="_x0000_s1059" type="#_x0000_t202" style="position:absolute;left:0;text-align:left;margin-left:-.55pt;margin-top:18pt;width:21.25pt;height:1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KboaFn4CAAAI&#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32</w:t>
                      </w:r>
                      <w:r>
                        <w:fldChar w:fldCharType="end"/>
                      </w:r>
                    </w:p>
                  </w:txbxContent>
                </v:textbox>
              </v:shape>
            </w:pict>
          </mc:Fallback>
        </mc:AlternateContent>
      </w:r>
      <w:r>
        <w:rPr>
          <w:sz w:val="24"/>
        </w:rPr>
        <w:t>cc) Dagegen erscheint die Geltendmachung eines Amtshaftungsanspruchs gestützt auf die Rechtswidrigkeit der am 30. April 2010 durchgeführten Rektorenwahl als offe</w:t>
      </w:r>
      <w:r>
        <w:rPr>
          <w:sz w:val="24"/>
        </w:rPr>
        <w:t>n</w:t>
      </w:r>
      <w:r>
        <w:rPr>
          <w:sz w:val="24"/>
        </w:rPr>
        <w:t>sichtlich aussichtslos. Der Kläger hat als erlittenen Schaden ausschließlich die ihm im Verfahren 2 L 123/10 entstandenen Kosten benannt. Dieses Verfahren wurde ersti</w:t>
      </w:r>
      <w:r>
        <w:rPr>
          <w:sz w:val="24"/>
        </w:rPr>
        <w:t>n</w:t>
      </w:r>
      <w:r>
        <w:rPr>
          <w:sz w:val="24"/>
        </w:rPr>
        <w:t>stanzlich durch Beschluss des Verwaltungsgerichts Chemnitz vom 29. April 2010 b</w:t>
      </w:r>
      <w:r>
        <w:rPr>
          <w:sz w:val="24"/>
        </w:rPr>
        <w:t>e</w:t>
      </w:r>
      <w:r>
        <w:rPr>
          <w:sz w:val="24"/>
        </w:rPr>
        <w:t>endet, in dem die Kosten dem Kläger auferlegt wurden. Es erscheint als logisch ausg</w:t>
      </w:r>
      <w:r>
        <w:rPr>
          <w:sz w:val="24"/>
        </w:rPr>
        <w:t>e</w:t>
      </w:r>
      <w:r>
        <w:rPr>
          <w:sz w:val="24"/>
        </w:rPr>
        <w:t>schlossen, dass die Kosten des am 29. April 2010 durch Beschluss beendeten Verfa</w:t>
      </w:r>
      <w:r>
        <w:rPr>
          <w:sz w:val="24"/>
        </w:rPr>
        <w:t>h</w:t>
      </w:r>
      <w:r>
        <w:rPr>
          <w:sz w:val="24"/>
        </w:rPr>
        <w:t>rens kausal durch die zeitlich nachfolgend durchgeführte Rektorenwahl vom 30. April 2010 verursacht worden sein könnten.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94080" behindDoc="0" locked="0" layoutInCell="1" allowOverlap="1" wp14:anchorId="77DFA9F6" wp14:editId="5A883B9A">
                <wp:simplePos x="0" y="0"/>
                <wp:positionH relativeFrom="column">
                  <wp:posOffset>-6985</wp:posOffset>
                </wp:positionH>
                <wp:positionV relativeFrom="paragraph">
                  <wp:posOffset>228600</wp:posOffset>
                </wp:positionV>
                <wp:extent cx="269875" cy="179705"/>
                <wp:effectExtent l="0" t="1905" r="0" b="0"/>
                <wp:wrapNone/>
                <wp:docPr id="12" name="Textfeld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2" o:spid="_x0000_s1060" type="#_x0000_t202" style="position:absolute;left:0;text-align:left;margin-left:-.55pt;margin-top:18pt;width:21.25pt;height:14.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H7uy8X4CAAAI&#10;BQAADgAAAAAAAAAAAAAAAAAuAgAAZHJzL2Uyb0RvYy54bWxQSwECLQAUAAYACAAAACEAqMVvod0A&#10;AAAHAQAADwAAAAAAAAAAAAAAAADYBAAAZHJzL2Rvd25yZXYueG1sUEsFBgAAAAAEAAQA8wAAAOIF&#10;AAAAAA==&#10;" stroked="f">
                <v:textbox inset="0,0,0,0">
                  <w:txbxContent>
                    <w:p w:rsidR="00701552" w:rsidRDefault="00701552" w:rsidP="00701552">
                      <w:r>
                        <w:fldChar w:fldCharType="begin"/>
                      </w:r>
                      <w:r>
                        <w:instrText xml:space="preserve"> SEQ \a </w:instrText>
                      </w:r>
                      <w:r>
                        <w:fldChar w:fldCharType="separate"/>
                      </w:r>
                      <w:r>
                        <w:rPr>
                          <w:noProof/>
                        </w:rPr>
                        <w:t>33</w:t>
                      </w:r>
                      <w:r>
                        <w:fldChar w:fldCharType="end"/>
                      </w:r>
                    </w:p>
                  </w:txbxContent>
                </v:textbox>
              </v:shape>
            </w:pict>
          </mc:Fallback>
        </mc:AlternateContent>
      </w:r>
      <w:r>
        <w:rPr>
          <w:sz w:val="24"/>
        </w:rPr>
        <w:t>2. Soweit die Klage zulässig ist, ist sie auch begründet.</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95104" behindDoc="0" locked="0" layoutInCell="1" allowOverlap="1" wp14:anchorId="376358BD" wp14:editId="795023AC">
                <wp:simplePos x="0" y="0"/>
                <wp:positionH relativeFrom="column">
                  <wp:posOffset>-6985</wp:posOffset>
                </wp:positionH>
                <wp:positionV relativeFrom="paragraph">
                  <wp:posOffset>228600</wp:posOffset>
                </wp:positionV>
                <wp:extent cx="269875" cy="179705"/>
                <wp:effectExtent l="0" t="0" r="0" b="3175"/>
                <wp:wrapNone/>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1" o:spid="_x0000_s1061" type="#_x0000_t202" style="position:absolute;left:0;text-align:left;margin-left:-.55pt;margin-top:18pt;width:21.25pt;height:14.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fIf/CfQIAAAg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34</w:t>
                      </w:r>
                      <w:r>
                        <w:fldChar w:fldCharType="end"/>
                      </w:r>
                    </w:p>
                  </w:txbxContent>
                </v:textbox>
              </v:shape>
            </w:pict>
          </mc:Fallback>
        </mc:AlternateContent>
      </w:r>
      <w:r>
        <w:rPr>
          <w:sz w:val="24"/>
        </w:rPr>
        <w:t>Der Kläger hat Anspruch auf die Feststellung, dass der der Wahlvorschlag des Hoc</w:t>
      </w:r>
      <w:r>
        <w:rPr>
          <w:sz w:val="24"/>
        </w:rPr>
        <w:t>h</w:t>
      </w:r>
      <w:r>
        <w:rPr>
          <w:sz w:val="24"/>
        </w:rPr>
        <w:t>schulrats der Beklagten zu 2 vom 4. März 2010 rechtswidrig war.</w:t>
      </w:r>
    </w:p>
    <w:p w:rsidR="00701552" w:rsidRDefault="00701552" w:rsidP="00701552">
      <w:pPr>
        <w:spacing w:before="360" w:line="360" w:lineRule="auto"/>
        <w:ind w:left="720"/>
        <w:jc w:val="both"/>
        <w:rPr>
          <w:sz w:val="24"/>
        </w:rPr>
      </w:pPr>
      <w:r>
        <w:rPr>
          <w:noProof/>
          <w:sz w:val="24"/>
        </w:rPr>
        <w:lastRenderedPageBreak/>
        <mc:AlternateContent>
          <mc:Choice Requires="wps">
            <w:drawing>
              <wp:anchor distT="0" distB="0" distL="114300" distR="114300" simplePos="0" relativeHeight="251696128" behindDoc="0" locked="0" layoutInCell="1" allowOverlap="1" wp14:anchorId="12757599" wp14:editId="3F2D28A7">
                <wp:simplePos x="0" y="0"/>
                <wp:positionH relativeFrom="column">
                  <wp:posOffset>-9249</wp:posOffset>
                </wp:positionH>
                <wp:positionV relativeFrom="paragraph">
                  <wp:posOffset>46410</wp:posOffset>
                </wp:positionV>
                <wp:extent cx="269875" cy="362585"/>
                <wp:effectExtent l="0" t="0" r="0" b="0"/>
                <wp:wrapNone/>
                <wp:docPr id="10"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362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0" o:spid="_x0000_s1062" type="#_x0000_t202" style="position:absolute;left:0;text-align:left;margin-left:-.75pt;margin-top:3.65pt;width:21.25pt;height:28.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" stroked="f">
                <v:textbox inset="0,0,0,0">
                  <w:txbxContent>
                    <w:p w:rsidR="00701552" w:rsidRDefault="00701552" w:rsidP="00701552">
                      <w:r>
                        <w:fldChar w:fldCharType="begin"/>
                      </w:r>
                      <w:r>
                        <w:instrText xml:space="preserve"> SEQ \a </w:instrText>
                      </w:r>
                      <w:r>
                        <w:fldChar w:fldCharType="separate"/>
                      </w:r>
                      <w:r>
                        <w:rPr>
                          <w:noProof/>
                        </w:rPr>
                        <w:t>35</w:t>
                      </w:r>
                      <w:r>
                        <w:fldChar w:fldCharType="end"/>
                      </w:r>
                    </w:p>
                  </w:txbxContent>
                </v:textbox>
              </v:shape>
            </w:pict>
          </mc:Fallback>
        </mc:AlternateContent>
      </w:r>
      <w:r>
        <w:rPr>
          <w:sz w:val="24"/>
        </w:rPr>
        <w:t>Es wird hierzu auf die</w:t>
      </w:r>
      <w:r w:rsidRPr="00E53D3C">
        <w:rPr>
          <w:sz w:val="24"/>
        </w:rPr>
        <w:t xml:space="preserve"> </w:t>
      </w:r>
      <w:r>
        <w:rPr>
          <w:sz w:val="24"/>
        </w:rPr>
        <w:t>Ausführungen des Senats im Eilverfahren verwiesen (</w:t>
      </w:r>
      <w:proofErr w:type="spellStart"/>
      <w:r>
        <w:rPr>
          <w:sz w:val="24"/>
        </w:rPr>
        <w:t>Senatsb</w:t>
      </w:r>
      <w:r>
        <w:rPr>
          <w:sz w:val="24"/>
        </w:rPr>
        <w:t>e</w:t>
      </w:r>
      <w:r>
        <w:rPr>
          <w:sz w:val="24"/>
        </w:rPr>
        <w:t>schl</w:t>
      </w:r>
      <w:proofErr w:type="spellEnd"/>
      <w:r>
        <w:rPr>
          <w:sz w:val="24"/>
        </w:rPr>
        <w:t xml:space="preserve">. v. 2. August 2010 - 2 B 181/10 - a. a. O. </w:t>
      </w:r>
      <w:proofErr w:type="spellStart"/>
      <w:r>
        <w:rPr>
          <w:sz w:val="24"/>
        </w:rPr>
        <w:t>Rn</w:t>
      </w:r>
      <w:proofErr w:type="spellEnd"/>
      <w:r>
        <w:rPr>
          <w:sz w:val="24"/>
        </w:rPr>
        <w:t>. 8 bis 14). Hiernach war der Au</w:t>
      </w:r>
      <w:r>
        <w:rPr>
          <w:sz w:val="24"/>
        </w:rPr>
        <w:t>s</w:t>
      </w:r>
      <w:r>
        <w:rPr>
          <w:sz w:val="24"/>
        </w:rPr>
        <w:t xml:space="preserve">schluss des Klägers von dem </w:t>
      </w:r>
      <w:proofErr w:type="spellStart"/>
      <w:r>
        <w:rPr>
          <w:sz w:val="24"/>
        </w:rPr>
        <w:t>dem</w:t>
      </w:r>
      <w:proofErr w:type="spellEnd"/>
      <w:r>
        <w:rPr>
          <w:sz w:val="24"/>
        </w:rPr>
        <w:t xml:space="preserve"> Erweiterten Senat als Wahlgremium vom Hoc</w:t>
      </w:r>
      <w:r>
        <w:rPr>
          <w:sz w:val="24"/>
        </w:rPr>
        <w:t>h</w:t>
      </w:r>
      <w:r>
        <w:rPr>
          <w:sz w:val="24"/>
        </w:rPr>
        <w:t>schulrat im Einvernehmen mit dem Senat unterbreiteten Wahlvorschlag rechtswidrig und verletzte ihn in seinem Anspruch als Bewerber auf ein ordnungsgemäßes und fa</w:t>
      </w:r>
      <w:r>
        <w:rPr>
          <w:sz w:val="24"/>
        </w:rPr>
        <w:t>i</w:t>
      </w:r>
      <w:r>
        <w:rPr>
          <w:sz w:val="24"/>
        </w:rPr>
        <w:t>res Bewerbungs- und Auswahlverfahren. Der Senat hat zum Wahlvorschlag des Hochschulrats wie folgt au</w:t>
      </w:r>
      <w:r>
        <w:rPr>
          <w:sz w:val="24"/>
        </w:rPr>
        <w:t>s</w:t>
      </w:r>
      <w:r>
        <w:rPr>
          <w:sz w:val="24"/>
        </w:rPr>
        <w:t xml:space="preserve">geführt (a. a. O. </w:t>
      </w:r>
      <w:proofErr w:type="spellStart"/>
      <w:r>
        <w:rPr>
          <w:sz w:val="24"/>
        </w:rPr>
        <w:t>Rn</w:t>
      </w:r>
      <w:proofErr w:type="spellEnd"/>
      <w:r>
        <w:rPr>
          <w:sz w:val="24"/>
        </w:rPr>
        <w:t xml:space="preserve">. 15, 16): </w:t>
      </w:r>
    </w:p>
    <w:p w:rsidR="00701552" w:rsidRDefault="00701552" w:rsidP="00701552">
      <w:pPr>
        <w:tabs>
          <w:tab w:val="left" w:pos="0"/>
        </w:tabs>
        <w:ind w:left="709"/>
        <w:jc w:val="both"/>
        <w:rPr>
          <w:sz w:val="24"/>
        </w:rPr>
      </w:pPr>
      <w:r>
        <w:rPr>
          <w:sz w:val="24"/>
        </w:rPr>
        <w:t>"Fehlerhaft ist aber jedenfalls die Entscheidung des Hochschulrates, dem Senat den Beigelad</w:t>
      </w:r>
      <w:r>
        <w:rPr>
          <w:sz w:val="24"/>
        </w:rPr>
        <w:t>e</w:t>
      </w:r>
      <w:r>
        <w:rPr>
          <w:sz w:val="24"/>
        </w:rPr>
        <w:t>nen als einzigen Wahlvorschlag zu unterbreiten. Sowohl der Beigeladene als auch der Antragsteller verfügen nach den vorgelegten Bewerbungsunterlagen über eine vergleichbare Qualifikation und vergleichbare Referenzen. Ausweislich des Prot</w:t>
      </w:r>
      <w:r>
        <w:rPr>
          <w:sz w:val="24"/>
        </w:rPr>
        <w:t>o</w:t>
      </w:r>
      <w:r>
        <w:rPr>
          <w:sz w:val="24"/>
        </w:rPr>
        <w:t>kolls über die Anhörung im Hochschulrat haben sie auch beide vergleichbare, inhal</w:t>
      </w:r>
      <w:r>
        <w:rPr>
          <w:sz w:val="24"/>
        </w:rPr>
        <w:t>t</w:t>
      </w:r>
      <w:r>
        <w:rPr>
          <w:sz w:val="24"/>
        </w:rPr>
        <w:t>lich überzeugende Vorträge gehalten. Bei einer solchen im Wesentlichen gleichen Qualifikation obliegt es allein dem Erweiterten Senat, die abschließende Auswahlen</w:t>
      </w:r>
      <w:r>
        <w:rPr>
          <w:sz w:val="24"/>
        </w:rPr>
        <w:t>t</w:t>
      </w:r>
      <w:r>
        <w:rPr>
          <w:sz w:val="24"/>
        </w:rPr>
        <w:t xml:space="preserve">scheidung zu treffen. </w:t>
      </w:r>
    </w:p>
    <w:p w:rsidR="00701552" w:rsidRDefault="00701552" w:rsidP="00701552">
      <w:pPr>
        <w:tabs>
          <w:tab w:val="left" w:pos="0"/>
        </w:tabs>
        <w:ind w:left="709"/>
        <w:jc w:val="both"/>
        <w:rPr>
          <w:sz w:val="24"/>
        </w:rPr>
      </w:pPr>
    </w:p>
    <w:p w:rsidR="00701552" w:rsidRDefault="00701552" w:rsidP="00701552">
      <w:pPr>
        <w:tabs>
          <w:tab w:val="left" w:pos="0"/>
        </w:tabs>
        <w:ind w:left="709"/>
        <w:jc w:val="both"/>
        <w:rPr>
          <w:sz w:val="24"/>
        </w:rPr>
      </w:pPr>
      <w:r>
        <w:rPr>
          <w:sz w:val="24"/>
        </w:rPr>
        <w:t xml:space="preserve">Fehlerhaft ist folglich auch die </w:t>
      </w:r>
      <w:proofErr w:type="spellStart"/>
      <w:r>
        <w:rPr>
          <w:sz w:val="24"/>
        </w:rPr>
        <w:t>Einvernehmenserteilung</w:t>
      </w:r>
      <w:proofErr w:type="spellEnd"/>
      <w:r>
        <w:rPr>
          <w:sz w:val="24"/>
        </w:rPr>
        <w:t xml:space="preserve"> durch den Senat. Zudem ist die Erteilung des Einvernehmens auch selbst verfahrensfehlerhaft erfolgt, weil die S</w:t>
      </w:r>
      <w:r>
        <w:rPr>
          <w:sz w:val="24"/>
        </w:rPr>
        <w:t>e</w:t>
      </w:r>
      <w:r>
        <w:rPr>
          <w:sz w:val="24"/>
        </w:rPr>
        <w:t>natoren nicht hinreichend unterrichtet waren. Soweit aus den Akten ersichtlich, sind dem Senat nur das Auswahlprozedere und der einzig verbliebene Kandidat vorgestellt worden. Die wirksame Erteilung des Einvernehmens zu einem Wahlvorschlag hätte aber vorausgesetzt, dass der Senat vom Hochschulrat über die Bewerber, die auf der Vorschlagsliste der Auswahlkommiss</w:t>
      </w:r>
      <w:r>
        <w:rPr>
          <w:sz w:val="24"/>
        </w:rPr>
        <w:t>i</w:t>
      </w:r>
      <w:r>
        <w:rPr>
          <w:sz w:val="24"/>
        </w:rPr>
        <w:t>on stehen, jedenfalls soweit informiert worden wäre, wie die Bewerber für eine Aufnahme in den gemeinsamen Wahlvorschlag erns</w:t>
      </w:r>
      <w:r>
        <w:rPr>
          <w:sz w:val="24"/>
        </w:rPr>
        <w:t>t</w:t>
      </w:r>
      <w:r>
        <w:rPr>
          <w:sz w:val="24"/>
        </w:rPr>
        <w:t>haft in Betracht kommen. Die wirksame Erteilung des Einvernehmens setzt voraus, dass sich der Senat seiner gesetzlich begründeten Mitentscheidungskompetenz bewusst ist und den Vorschlag des Hochschulrats anhand der Bedürfnisse der Hochsch</w:t>
      </w:r>
      <w:r>
        <w:rPr>
          <w:sz w:val="24"/>
        </w:rPr>
        <w:t>u</w:t>
      </w:r>
      <w:r>
        <w:rPr>
          <w:sz w:val="24"/>
        </w:rPr>
        <w:t>le und der Wissenschaft sowie unter Beachtung der Kriterien der Eignung, Leistung und Befähigung einer eigenständ</w:t>
      </w:r>
      <w:r>
        <w:rPr>
          <w:sz w:val="24"/>
        </w:rPr>
        <w:t>i</w:t>
      </w:r>
      <w:r>
        <w:rPr>
          <w:sz w:val="24"/>
        </w:rPr>
        <w:t xml:space="preserve">gen Bewertung unterzieht (vgl. </w:t>
      </w:r>
      <w:proofErr w:type="spellStart"/>
      <w:r>
        <w:rPr>
          <w:sz w:val="24"/>
        </w:rPr>
        <w:t>Sächs</w:t>
      </w:r>
      <w:r>
        <w:rPr>
          <w:sz w:val="24"/>
        </w:rPr>
        <w:softHyphen/>
        <w:t>OVG</w:t>
      </w:r>
      <w:proofErr w:type="spellEnd"/>
      <w:r>
        <w:rPr>
          <w:sz w:val="24"/>
        </w:rPr>
        <w:t>, Beschl. v. 8.10.2009 - 2 B 458/09 -). Zu einer solchen eigenständigen Bewertung des Vo</w:t>
      </w:r>
      <w:r>
        <w:rPr>
          <w:sz w:val="24"/>
        </w:rPr>
        <w:t>r</w:t>
      </w:r>
      <w:r>
        <w:rPr>
          <w:sz w:val="24"/>
        </w:rPr>
        <w:t>schlags ist der Senat nur dann in der Lage, wenn er hinreichend über die für einen Wahlvorschlag in Betracht kommenden Kandidaten und die von ihnen vorgelegten Bewerbungen und Unterlagen unterrichtet wird. Nur dann kann der Senat den Vo</w:t>
      </w:r>
      <w:r>
        <w:rPr>
          <w:sz w:val="24"/>
        </w:rPr>
        <w:t>r</w:t>
      </w:r>
      <w:r>
        <w:rPr>
          <w:sz w:val="24"/>
        </w:rPr>
        <w:t>schlag des Hochschulrats in Erwägung ziehen und bewerten sowie ggf. Änderungsvo</w:t>
      </w:r>
      <w:r>
        <w:rPr>
          <w:sz w:val="24"/>
        </w:rPr>
        <w:t>r</w:t>
      </w:r>
      <w:r>
        <w:rPr>
          <w:sz w:val="24"/>
        </w:rPr>
        <w:t>schläge unterbreiten."</w:t>
      </w:r>
    </w:p>
    <w:p w:rsidR="00701552" w:rsidRDefault="00701552" w:rsidP="00701552">
      <w:pPr>
        <w:spacing w:before="360" w:line="360" w:lineRule="auto"/>
        <w:ind w:left="720"/>
        <w:jc w:val="both"/>
        <w:rPr>
          <w:sz w:val="24"/>
        </w:rPr>
      </w:pPr>
      <w:r>
        <w:rPr>
          <w:noProof/>
          <w:sz w:val="24"/>
        </w:rPr>
        <mc:AlternateContent>
          <mc:Choice Requires="wps">
            <w:drawing>
              <wp:anchor distT="0" distB="0" distL="114300" distR="114300" simplePos="0" relativeHeight="251697152" behindDoc="0" locked="0" layoutInCell="1" allowOverlap="1" wp14:anchorId="427D5FBE" wp14:editId="5ECEC407">
                <wp:simplePos x="0" y="0"/>
                <wp:positionH relativeFrom="column">
                  <wp:posOffset>-6985</wp:posOffset>
                </wp:positionH>
                <wp:positionV relativeFrom="paragraph">
                  <wp:posOffset>228600</wp:posOffset>
                </wp:positionV>
                <wp:extent cx="269875" cy="179705"/>
                <wp:effectExtent l="0" t="3810" r="0" b="0"/>
                <wp:wrapNone/>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9" o:spid="_x0000_s1063" type="#_x0000_t202" style="position:absolute;left:0;text-align:left;margin-left:-.55pt;margin-top:18pt;width:21.25pt;height:14.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qPmYnfQIAAAY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36</w:t>
                      </w:r>
                      <w:r>
                        <w:fldChar w:fldCharType="end"/>
                      </w:r>
                    </w:p>
                  </w:txbxContent>
                </v:textbox>
              </v:shape>
            </w:pict>
          </mc:Fallback>
        </mc:AlternateContent>
      </w:r>
      <w:r>
        <w:rPr>
          <w:sz w:val="24"/>
        </w:rPr>
        <w:t>Der Senat hält an dieser Auffassung fest. Dies führt zu der begehrten Feststellung, dass der Wahlvorschlag des Hochschulrates der Beklagten zu 2 vom 4. März 2010 rechtswidrig war.</w:t>
      </w:r>
    </w:p>
    <w:p w:rsidR="00701552" w:rsidRDefault="00701552" w:rsidP="00701552">
      <w:pPr>
        <w:spacing w:before="360" w:line="360" w:lineRule="auto"/>
        <w:ind w:left="709"/>
        <w:jc w:val="both"/>
        <w:rPr>
          <w:sz w:val="24"/>
        </w:rPr>
      </w:pPr>
      <w:r>
        <w:rPr>
          <w:noProof/>
          <w:sz w:val="24"/>
        </w:rPr>
        <mc:AlternateContent>
          <mc:Choice Requires="wps">
            <w:drawing>
              <wp:anchor distT="0" distB="0" distL="114300" distR="114300" simplePos="0" relativeHeight="251698176" behindDoc="0" locked="0" layoutInCell="1" allowOverlap="1" wp14:anchorId="3D432FBD" wp14:editId="558B2E6A">
                <wp:simplePos x="0" y="0"/>
                <wp:positionH relativeFrom="column">
                  <wp:posOffset>-6985</wp:posOffset>
                </wp:positionH>
                <wp:positionV relativeFrom="paragraph">
                  <wp:posOffset>228600</wp:posOffset>
                </wp:positionV>
                <wp:extent cx="269875" cy="179705"/>
                <wp:effectExtent l="0" t="1905" r="0" b="0"/>
                <wp:wrapNone/>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8" o:spid="_x0000_s1064" type="#_x0000_t202" style="position:absolute;left:0;text-align:left;margin-left:-.55pt;margin-top:18pt;width:21.25pt;height:14.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IUWLRfQIAAAY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37</w:t>
                      </w:r>
                      <w:r>
                        <w:fldChar w:fldCharType="end"/>
                      </w:r>
                    </w:p>
                  </w:txbxContent>
                </v:textbox>
              </v:shape>
            </w:pict>
          </mc:Fallback>
        </mc:AlternateContent>
      </w:r>
      <w:r>
        <w:rPr>
          <w:sz w:val="24"/>
        </w:rPr>
        <w:t>Die Kostenentscheidung beruht auf § 154 Abs. 1, Abs. 2, Abs. 3, § 155 Abs. 1 Satz 1 und § 162 Abs. 3 VwGO. Der Beigeladene trägt seine außergerichtlichen Kosten selbst, da er keinen Antrag g</w:t>
      </w:r>
      <w:r>
        <w:rPr>
          <w:sz w:val="24"/>
        </w:rPr>
        <w:t>e</w:t>
      </w:r>
      <w:r>
        <w:rPr>
          <w:sz w:val="24"/>
        </w:rPr>
        <w:t>stellt hat.</w:t>
      </w:r>
    </w:p>
    <w:p w:rsidR="00701552" w:rsidRDefault="00701552" w:rsidP="00701552">
      <w:pPr>
        <w:spacing w:before="360" w:line="360" w:lineRule="auto"/>
        <w:ind w:left="709"/>
        <w:jc w:val="both"/>
        <w:rPr>
          <w:sz w:val="24"/>
        </w:rPr>
      </w:pPr>
      <w:r>
        <w:rPr>
          <w:noProof/>
          <w:sz w:val="24"/>
        </w:rPr>
        <w:lastRenderedPageBreak/>
        <mc:AlternateContent>
          <mc:Choice Requires="wps">
            <w:drawing>
              <wp:anchor distT="0" distB="0" distL="114300" distR="114300" simplePos="0" relativeHeight="251699200" behindDoc="0" locked="0" layoutInCell="1" allowOverlap="1" wp14:anchorId="578080A8" wp14:editId="77D4994D">
                <wp:simplePos x="0" y="0"/>
                <wp:positionH relativeFrom="column">
                  <wp:posOffset>-14936</wp:posOffset>
                </wp:positionH>
                <wp:positionV relativeFrom="paragraph">
                  <wp:posOffset>5963</wp:posOffset>
                </wp:positionV>
                <wp:extent cx="269875" cy="179705"/>
                <wp:effectExtent l="0" t="0" r="0" b="0"/>
                <wp:wrapNone/>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7" o:spid="_x0000_s1065" type="#_x0000_t202" style="position:absolute;left:0;text-align:left;margin-left:-1.2pt;margin-top:.45pt;width:21.25pt;height:14.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" stroked="f">
                <v:textbox inset="0,0,0,0">
                  <w:txbxContent>
                    <w:p w:rsidR="00701552" w:rsidRDefault="00701552" w:rsidP="00701552">
                      <w:r>
                        <w:fldChar w:fldCharType="begin"/>
                      </w:r>
                      <w:r>
                        <w:instrText xml:space="preserve"> SEQ \a </w:instrText>
                      </w:r>
                      <w:r>
                        <w:fldChar w:fldCharType="separate"/>
                      </w:r>
                      <w:r>
                        <w:rPr>
                          <w:noProof/>
                        </w:rPr>
                        <w:t>38</w:t>
                      </w:r>
                      <w:r>
                        <w:fldChar w:fldCharType="end"/>
                      </w:r>
                    </w:p>
                  </w:txbxContent>
                </v:textbox>
              </v:shape>
            </w:pict>
          </mc:Fallback>
        </mc:AlternateContent>
      </w:r>
      <w:r>
        <w:rPr>
          <w:sz w:val="24"/>
        </w:rPr>
        <w:t>Die Revision war nicht zuzulassen, da keiner der Gründe des § 132 Abs. 2 VwGO vor-</w:t>
      </w:r>
      <w:bookmarkStart w:id="19" w:name="_GoBack"/>
      <w:bookmarkEnd w:id="19"/>
      <w:r>
        <w:rPr>
          <w:sz w:val="24"/>
        </w:rPr>
        <w:t>liegt.</w:t>
      </w:r>
    </w:p>
    <w:p w:rsidR="00701552" w:rsidRDefault="00701552" w:rsidP="00701552">
      <w:pPr>
        <w:spacing w:before="360" w:line="360" w:lineRule="auto"/>
        <w:ind w:left="709"/>
        <w:jc w:val="both"/>
        <w:rPr>
          <w:sz w:val="24"/>
        </w:rPr>
      </w:pPr>
      <w:r>
        <w:rPr>
          <w:noProof/>
          <w:sz w:val="24"/>
        </w:rPr>
        <mc:AlternateContent>
          <mc:Choice Requires="wps">
            <w:drawing>
              <wp:anchor distT="0" distB="0" distL="114300" distR="114300" simplePos="0" relativeHeight="251700224" behindDoc="0" locked="0" layoutInCell="1" allowOverlap="1" wp14:anchorId="320A0ADF" wp14:editId="464FD611">
                <wp:simplePos x="0" y="0"/>
                <wp:positionH relativeFrom="column">
                  <wp:posOffset>-6985</wp:posOffset>
                </wp:positionH>
                <wp:positionV relativeFrom="paragraph">
                  <wp:posOffset>228600</wp:posOffset>
                </wp:positionV>
                <wp:extent cx="269875" cy="179705"/>
                <wp:effectExtent l="0" t="1905" r="0" b="0"/>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6" o:spid="_x0000_s1066" type="#_x0000_t202" style="position:absolute;left:0;text-align:left;margin-left:-.55pt;margin-top:18pt;width:21.25pt;height:14.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fBxfQIAAAY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CnfBxfQIAAAYF&#10;AAAOAAAAAAAAAAAAAAAAAC4CAABkcnMvZTJvRG9jLnhtbFBLAQItABQABgAIAAAAIQCoxW+h3QAA&#10;AAcBAAAPAAAAAAAAAAAAAAAAANcEAABkcnMvZG93bnJldi54bWxQSwUGAAAAAAQABADzAAAA4QUA&#10;AAAA&#10;" stroked="f">
                <v:textbox inset="0,0,0,0">
                  <w:txbxContent>
                    <w:p w:rsidR="00701552" w:rsidRDefault="00701552" w:rsidP="00701552"/>
                  </w:txbxContent>
                </v:textbox>
              </v:shape>
            </w:pict>
          </mc:Fallback>
        </mc:AlternateContent>
      </w:r>
    </w:p>
    <w:p w:rsidR="00701552" w:rsidRDefault="00701552" w:rsidP="00701552">
      <w:pPr>
        <w:spacing w:before="360" w:line="360" w:lineRule="auto"/>
        <w:ind w:left="709"/>
        <w:jc w:val="both"/>
        <w:rPr>
          <w:sz w:val="24"/>
        </w:rPr>
      </w:pPr>
      <w:r>
        <w:rPr>
          <w:noProof/>
          <w:sz w:val="24"/>
        </w:rPr>
        <mc:AlternateContent>
          <mc:Choice Requires="wps">
            <w:drawing>
              <wp:anchor distT="0" distB="0" distL="114300" distR="114300" simplePos="0" relativeHeight="251701248" behindDoc="0" locked="0" layoutInCell="1" allowOverlap="1" wp14:anchorId="7FD427D5" wp14:editId="09091888">
                <wp:simplePos x="0" y="0"/>
                <wp:positionH relativeFrom="column">
                  <wp:posOffset>-6985</wp:posOffset>
                </wp:positionH>
                <wp:positionV relativeFrom="paragraph">
                  <wp:posOffset>228600</wp:posOffset>
                </wp:positionV>
                <wp:extent cx="269875" cy="179705"/>
                <wp:effectExtent l="0" t="0" r="0" b="3175"/>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5" o:spid="_x0000_s1067" type="#_x0000_t202" style="position:absolute;left:0;text-align:left;margin-left:-.55pt;margin-top:18pt;width:21.25pt;height:14.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SEnXqfQIAAAYF&#10;AAAOAAAAAAAAAAAAAAAAAC4CAABkcnMvZTJvRG9jLnhtbFBLAQItABQABgAIAAAAIQCoxW+h3QAA&#10;AAcBAAAPAAAAAAAAAAAAAAAAANcEAABkcnMvZG93bnJldi54bWxQSwUGAAAAAAQABADzAAAA4QUA&#10;AAAA&#10;" stroked="f">
                <v:textbox inset="0,0,0,0">
                  <w:txbxContent>
                    <w:p w:rsidR="00701552" w:rsidRDefault="00701552" w:rsidP="00701552"/>
                  </w:txbxContent>
                </v:textbox>
              </v:shape>
            </w:pict>
          </mc:Fallback>
        </mc:AlternateContent>
      </w:r>
    </w:p>
    <w:p w:rsidR="00701552" w:rsidRDefault="00701552" w:rsidP="00701552">
      <w:pPr>
        <w:spacing w:before="360" w:line="360" w:lineRule="auto"/>
        <w:ind w:left="709"/>
        <w:jc w:val="both"/>
        <w:rPr>
          <w:sz w:val="24"/>
        </w:rPr>
      </w:pPr>
      <w:r>
        <w:rPr>
          <w:noProof/>
          <w:sz w:val="24"/>
        </w:rPr>
        <mc:AlternateContent>
          <mc:Choice Requires="wps">
            <w:drawing>
              <wp:anchor distT="0" distB="0" distL="114300" distR="114300" simplePos="0" relativeHeight="251702272" behindDoc="0" locked="0" layoutInCell="1" allowOverlap="1" wp14:anchorId="3CFEE084" wp14:editId="18F7E9E5">
                <wp:simplePos x="0" y="0"/>
                <wp:positionH relativeFrom="column">
                  <wp:posOffset>-6985</wp:posOffset>
                </wp:positionH>
                <wp:positionV relativeFrom="paragraph">
                  <wp:posOffset>228600</wp:posOffset>
                </wp:positionV>
                <wp:extent cx="269875" cy="179705"/>
                <wp:effectExtent l="0" t="3810" r="0" b="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 o:spid="_x0000_s1068" type="#_x0000_t202" style="position:absolute;left:0;text-align:left;margin-left:-.55pt;margin-top:18pt;width:21.25pt;height:14.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9RfA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GYub1F8AgAABgUA&#10;AA4AAAAAAAAAAAAAAAAALgIAAGRycy9lMm9Eb2MueG1sUEsBAi0AFAAGAAgAAAAhAKjFb6HdAAAA&#10;BwEAAA8AAAAAAAAAAAAAAAAA1gQAAGRycy9kb3ducmV2LnhtbFBLBQYAAAAABAAEAPMAAADgBQAA&#10;AAA=&#10;" stroked="f">
                <v:textbox inset="0,0,0,0">
                  <w:txbxContent>
                    <w:p w:rsidR="00701552" w:rsidRDefault="00701552" w:rsidP="00701552"/>
                  </w:txbxContent>
                </v:textbox>
              </v:shape>
            </w:pict>
          </mc:Fallback>
        </mc:AlternateContent>
      </w:r>
    </w:p>
    <w:p w:rsidR="00701552" w:rsidRPr="008011C6" w:rsidRDefault="00701552" w:rsidP="00701552">
      <w:pPr>
        <w:spacing w:before="360" w:line="360" w:lineRule="auto"/>
        <w:ind w:firstLine="709"/>
        <w:jc w:val="center"/>
        <w:rPr>
          <w:b/>
          <w:sz w:val="24"/>
        </w:rPr>
      </w:pPr>
      <w:r w:rsidRPr="008011C6">
        <w:rPr>
          <w:b/>
          <w:sz w:val="24"/>
        </w:rPr>
        <w:t>Rechtsmittelbelehrung</w:t>
      </w:r>
    </w:p>
    <w:p w:rsidR="00701552" w:rsidRPr="00044ACE" w:rsidRDefault="00701552" w:rsidP="00701552">
      <w:pPr>
        <w:spacing w:before="360"/>
        <w:ind w:left="720"/>
        <w:jc w:val="both"/>
        <w:rPr>
          <w:sz w:val="24"/>
          <w:szCs w:val="24"/>
        </w:rPr>
      </w:pPr>
      <w:r w:rsidRPr="00044ACE">
        <w:rPr>
          <w:sz w:val="24"/>
          <w:szCs w:val="24"/>
        </w:rPr>
        <w:t>Die Nichtzulassung der Revision kann durch Beschwerde angefochten werden.</w:t>
      </w:r>
    </w:p>
    <w:p w:rsidR="00701552" w:rsidRPr="00044ACE" w:rsidRDefault="00701552" w:rsidP="00701552">
      <w:pPr>
        <w:spacing w:before="360"/>
        <w:ind w:left="720"/>
        <w:jc w:val="both"/>
        <w:rPr>
          <w:sz w:val="24"/>
          <w:szCs w:val="24"/>
        </w:rPr>
      </w:pPr>
      <w:r w:rsidRPr="00044ACE">
        <w:rPr>
          <w:sz w:val="24"/>
          <w:szCs w:val="24"/>
        </w:rPr>
        <w:t xml:space="preserve">Die Beschwerde ist beim Sächsischen Oberverwaltungsgericht, </w:t>
      </w:r>
      <w:proofErr w:type="spellStart"/>
      <w:r w:rsidRPr="00044ACE">
        <w:rPr>
          <w:sz w:val="24"/>
          <w:szCs w:val="24"/>
        </w:rPr>
        <w:t>Ortenburg</w:t>
      </w:r>
      <w:proofErr w:type="spellEnd"/>
      <w:r w:rsidRPr="00044ACE">
        <w:rPr>
          <w:sz w:val="24"/>
          <w:szCs w:val="24"/>
        </w:rPr>
        <w:t xml:space="preserve"> 9, 02625 Bautzen, innerhalb eines Monats nach Zustellung dieses Urteils </w:t>
      </w:r>
      <w:r>
        <w:rPr>
          <w:sz w:val="24"/>
          <w:szCs w:val="24"/>
        </w:rPr>
        <w:t>schriftlich oder in elektronischer Form nach Maßgabe der Verordnung des Sächsischen Staatsminister</w:t>
      </w:r>
      <w:r>
        <w:rPr>
          <w:sz w:val="24"/>
          <w:szCs w:val="24"/>
        </w:rPr>
        <w:t>i</w:t>
      </w:r>
      <w:r>
        <w:rPr>
          <w:sz w:val="24"/>
          <w:szCs w:val="24"/>
        </w:rPr>
        <w:t>ums der Justiz und für Europa über den elektronischen Rechtsverkehr in Sachsen (</w:t>
      </w:r>
      <w:proofErr w:type="spellStart"/>
      <w:r>
        <w:rPr>
          <w:sz w:val="24"/>
          <w:szCs w:val="24"/>
        </w:rPr>
        <w:t>SächsERVerkVO</w:t>
      </w:r>
      <w:proofErr w:type="spellEnd"/>
      <w:r>
        <w:rPr>
          <w:sz w:val="24"/>
          <w:szCs w:val="24"/>
        </w:rPr>
        <w:t>) vom 6. Juli 2010 (</w:t>
      </w:r>
      <w:proofErr w:type="spellStart"/>
      <w:r>
        <w:rPr>
          <w:sz w:val="24"/>
          <w:szCs w:val="24"/>
        </w:rPr>
        <w:t>SächsGVBl</w:t>
      </w:r>
      <w:proofErr w:type="spellEnd"/>
      <w:r>
        <w:rPr>
          <w:sz w:val="24"/>
          <w:szCs w:val="24"/>
        </w:rPr>
        <w:t xml:space="preserve">. S. 190) in der jeweils geltenden Fassung </w:t>
      </w:r>
      <w:r w:rsidRPr="00044ACE">
        <w:rPr>
          <w:sz w:val="24"/>
          <w:szCs w:val="24"/>
        </w:rPr>
        <w:t>einzulegen. Die Beschwerde muss das angefochtene Urteil bezeichnen.</w:t>
      </w:r>
    </w:p>
    <w:p w:rsidR="00701552" w:rsidRPr="00044ACE" w:rsidRDefault="00701552" w:rsidP="00701552">
      <w:pPr>
        <w:spacing w:before="360"/>
        <w:ind w:left="720"/>
        <w:jc w:val="both"/>
        <w:rPr>
          <w:sz w:val="24"/>
          <w:szCs w:val="24"/>
        </w:rPr>
      </w:pPr>
      <w:r w:rsidRPr="00044ACE">
        <w:rPr>
          <w:sz w:val="24"/>
          <w:szCs w:val="24"/>
        </w:rPr>
        <w:t>Die Beschwerde ist innerhalb von zwei Monaten nach Zustellung dieses Urteils zu b</w:t>
      </w:r>
      <w:r w:rsidRPr="00044ACE">
        <w:rPr>
          <w:sz w:val="24"/>
          <w:szCs w:val="24"/>
        </w:rPr>
        <w:t>e</w:t>
      </w:r>
      <w:r w:rsidRPr="00044ACE">
        <w:rPr>
          <w:sz w:val="24"/>
          <w:szCs w:val="24"/>
        </w:rPr>
        <w:t xml:space="preserve">gründen. Die Begründung ist bei dem oben genannten Gericht </w:t>
      </w:r>
      <w:r>
        <w:rPr>
          <w:sz w:val="24"/>
          <w:szCs w:val="24"/>
        </w:rPr>
        <w:t>schriftlich oder in elek</w:t>
      </w:r>
      <w:r>
        <w:rPr>
          <w:sz w:val="24"/>
          <w:szCs w:val="24"/>
        </w:rPr>
        <w:t>t</w:t>
      </w:r>
      <w:r>
        <w:rPr>
          <w:sz w:val="24"/>
          <w:szCs w:val="24"/>
        </w:rPr>
        <w:t xml:space="preserve">ronischer Form nach Maßgabe der </w:t>
      </w:r>
      <w:proofErr w:type="spellStart"/>
      <w:r>
        <w:rPr>
          <w:sz w:val="24"/>
          <w:szCs w:val="24"/>
        </w:rPr>
        <w:t>SächsERVerkVO</w:t>
      </w:r>
      <w:proofErr w:type="spellEnd"/>
      <w:r>
        <w:rPr>
          <w:sz w:val="24"/>
          <w:szCs w:val="24"/>
        </w:rPr>
        <w:t xml:space="preserve"> </w:t>
      </w:r>
      <w:r w:rsidRPr="00044ACE">
        <w:rPr>
          <w:sz w:val="24"/>
          <w:szCs w:val="24"/>
        </w:rPr>
        <w:t>einzureichen.</w:t>
      </w:r>
    </w:p>
    <w:p w:rsidR="00701552" w:rsidRPr="00044ACE" w:rsidRDefault="00701552" w:rsidP="00701552">
      <w:pPr>
        <w:spacing w:before="360"/>
        <w:ind w:left="720"/>
        <w:jc w:val="both"/>
        <w:rPr>
          <w:sz w:val="24"/>
          <w:szCs w:val="24"/>
        </w:rPr>
      </w:pPr>
      <w:r w:rsidRPr="00044ACE">
        <w:rPr>
          <w:sz w:val="24"/>
          <w:szCs w:val="24"/>
        </w:rPr>
        <w:t>In der Begründung der Beschwerde muss die grundsätzliche Bedeutung der Rechtss</w:t>
      </w:r>
      <w:r w:rsidRPr="00044ACE">
        <w:rPr>
          <w:sz w:val="24"/>
          <w:szCs w:val="24"/>
        </w:rPr>
        <w:t>a</w:t>
      </w:r>
      <w:r w:rsidRPr="00044ACE">
        <w:rPr>
          <w:sz w:val="24"/>
          <w:szCs w:val="24"/>
        </w:rPr>
        <w:t>che dargelegt oder die Entscheidung des Bundesverwaltungsgerichts, des Gemeins</w:t>
      </w:r>
      <w:r w:rsidRPr="00044ACE">
        <w:rPr>
          <w:sz w:val="24"/>
          <w:szCs w:val="24"/>
        </w:rPr>
        <w:t>a</w:t>
      </w:r>
      <w:r w:rsidRPr="00044ACE">
        <w:rPr>
          <w:sz w:val="24"/>
          <w:szCs w:val="24"/>
        </w:rPr>
        <w:t>men Senats der Obersten Gerichtshöfe des Bundes oder des Bundesverfassungsg</w:t>
      </w:r>
      <w:r w:rsidRPr="00044ACE">
        <w:rPr>
          <w:sz w:val="24"/>
          <w:szCs w:val="24"/>
        </w:rPr>
        <w:t>e</w:t>
      </w:r>
      <w:r w:rsidRPr="00044ACE">
        <w:rPr>
          <w:sz w:val="24"/>
          <w:szCs w:val="24"/>
        </w:rPr>
        <w:t>richts, von der d</w:t>
      </w:r>
      <w:r>
        <w:rPr>
          <w:sz w:val="24"/>
          <w:szCs w:val="24"/>
        </w:rPr>
        <w:t>as</w:t>
      </w:r>
      <w:r w:rsidRPr="00044ACE">
        <w:rPr>
          <w:sz w:val="24"/>
          <w:szCs w:val="24"/>
        </w:rPr>
        <w:t xml:space="preserve"> </w:t>
      </w:r>
      <w:r>
        <w:rPr>
          <w:sz w:val="24"/>
          <w:szCs w:val="24"/>
        </w:rPr>
        <w:t>Urteil</w:t>
      </w:r>
      <w:r w:rsidRPr="00044ACE">
        <w:rPr>
          <w:sz w:val="24"/>
          <w:szCs w:val="24"/>
        </w:rPr>
        <w:t xml:space="preserve"> abweicht, oder der Verfahrensmangel bezeichnet werden.</w:t>
      </w:r>
    </w:p>
    <w:p w:rsidR="00701552" w:rsidRPr="00044ACE" w:rsidRDefault="00701552" w:rsidP="00701552">
      <w:pPr>
        <w:spacing w:before="360"/>
        <w:ind w:left="720"/>
        <w:jc w:val="both"/>
        <w:rPr>
          <w:bCs/>
          <w:sz w:val="24"/>
          <w:szCs w:val="24"/>
        </w:rPr>
      </w:pPr>
      <w:r w:rsidRPr="00044ACE">
        <w:rPr>
          <w:sz w:val="24"/>
          <w:szCs w:val="24"/>
        </w:rPr>
        <w:t>Für das Beschwerdeverfahren besteht Vertretungszwang; dies gilt auch für die Einl</w:t>
      </w:r>
      <w:r w:rsidRPr="00044ACE">
        <w:rPr>
          <w:sz w:val="24"/>
          <w:szCs w:val="24"/>
        </w:rPr>
        <w:t>e</w:t>
      </w:r>
      <w:r w:rsidRPr="00044ACE">
        <w:rPr>
          <w:sz w:val="24"/>
          <w:szCs w:val="24"/>
        </w:rPr>
        <w:t xml:space="preserve">gung der Beschwerde und für die Begründung. </w:t>
      </w:r>
      <w:r w:rsidRPr="00044ACE">
        <w:rPr>
          <w:bCs/>
          <w:sz w:val="24"/>
          <w:szCs w:val="24"/>
        </w:rPr>
        <w:t>Danach muss sich jeder Beteiligte durch einen Rechtsanwalt oder einen Rechtslehrer an einer staatlichen oder staatlich anerkannten Hochschule eines Mitgliedstaates der Europäischen Union, eines anderen Vertragsstaates des Abkommens über den Europäischen Wirtschaftsraum oder der Schweiz, der die Befähigung zum Richteramt besitzt, als Bevollmächtigten vertreten lassen.</w:t>
      </w:r>
    </w:p>
    <w:p w:rsidR="00701552" w:rsidRPr="00044ACE" w:rsidRDefault="00701552" w:rsidP="00701552">
      <w:pPr>
        <w:spacing w:before="360"/>
        <w:ind w:left="720"/>
        <w:jc w:val="both"/>
        <w:rPr>
          <w:iCs/>
          <w:color w:val="000000"/>
          <w:sz w:val="24"/>
          <w:szCs w:val="24"/>
        </w:rPr>
      </w:pPr>
      <w:r w:rsidRPr="00044ACE">
        <w:rPr>
          <w:iCs/>
          <w:sz w:val="24"/>
          <w:szCs w:val="24"/>
        </w:rPr>
        <w:t>In Angelegenheiten, die ein gegenwärtiges oder früheres Beamten-, Richter-, Weh</w:t>
      </w:r>
      <w:r w:rsidRPr="00044ACE">
        <w:rPr>
          <w:iCs/>
          <w:sz w:val="24"/>
          <w:szCs w:val="24"/>
        </w:rPr>
        <w:t>r</w:t>
      </w:r>
      <w:r w:rsidRPr="00044ACE">
        <w:rPr>
          <w:iCs/>
          <w:sz w:val="24"/>
          <w:szCs w:val="24"/>
        </w:rPr>
        <w:t>pflicht-, Wehrdienst- oder Zivildienstverhältnis oder die Entstehung eines solchen Verhältnisses betreffen, in Personalvertretungsangelegenheiten und in Angelegenhe</w:t>
      </w:r>
      <w:r w:rsidRPr="00044ACE">
        <w:rPr>
          <w:iCs/>
          <w:sz w:val="24"/>
          <w:szCs w:val="24"/>
        </w:rPr>
        <w:t>i</w:t>
      </w:r>
      <w:r w:rsidRPr="00044ACE">
        <w:rPr>
          <w:iCs/>
          <w:sz w:val="24"/>
          <w:szCs w:val="24"/>
        </w:rPr>
        <w:t>ten, die in einem Zusammenhang  mit einem gegenwärtigen oder früheren Arbeitsve</w:t>
      </w:r>
      <w:r w:rsidRPr="00044ACE">
        <w:rPr>
          <w:iCs/>
          <w:sz w:val="24"/>
          <w:szCs w:val="24"/>
        </w:rPr>
        <w:t>r</w:t>
      </w:r>
      <w:r w:rsidRPr="00044ACE">
        <w:rPr>
          <w:iCs/>
          <w:sz w:val="24"/>
          <w:szCs w:val="24"/>
        </w:rPr>
        <w:t xml:space="preserve">hältnis von Arbeitnehmern im Sinne des § 5 des </w:t>
      </w:r>
      <w:r w:rsidRPr="00044ACE">
        <w:rPr>
          <w:iCs/>
          <w:sz w:val="24"/>
          <w:szCs w:val="24"/>
        </w:rPr>
        <w:lastRenderedPageBreak/>
        <w:t>Arbeitsgerichtsgesetzes stehen, ei</w:t>
      </w:r>
      <w:r w:rsidRPr="00044ACE">
        <w:rPr>
          <w:iCs/>
          <w:sz w:val="24"/>
          <w:szCs w:val="24"/>
        </w:rPr>
        <w:t>n</w:t>
      </w:r>
      <w:r w:rsidRPr="00044ACE">
        <w:rPr>
          <w:iCs/>
          <w:sz w:val="24"/>
          <w:szCs w:val="24"/>
        </w:rPr>
        <w:t xml:space="preserve">schließlich Prüfungsangelegenheiten, sind auch </w:t>
      </w:r>
      <w:r w:rsidRPr="00044ACE">
        <w:rPr>
          <w:iCs/>
          <w:color w:val="000000"/>
          <w:sz w:val="24"/>
          <w:szCs w:val="24"/>
        </w:rPr>
        <w:t>Gewerkschaften und Vereinigungen von Arbeitgebern sowie Zusammenschlüsse solcher Verbände für ihre Mitglieder oder für andere Verbände oder Zusammenschlüsse mit vergleichbarer Ausrichtung und d</w:t>
      </w:r>
      <w:r w:rsidRPr="00044ACE">
        <w:rPr>
          <w:iCs/>
          <w:color w:val="000000"/>
          <w:sz w:val="24"/>
          <w:szCs w:val="24"/>
        </w:rPr>
        <w:t>e</w:t>
      </w:r>
      <w:r w:rsidRPr="00044ACE">
        <w:rPr>
          <w:iCs/>
          <w:color w:val="000000"/>
          <w:sz w:val="24"/>
          <w:szCs w:val="24"/>
        </w:rPr>
        <w:t xml:space="preserve">ren Mitglieder vertretungsbefugt. Vertretungsbefugt sind auch </w:t>
      </w:r>
      <w:r w:rsidRPr="00044ACE">
        <w:rPr>
          <w:iCs/>
          <w:sz w:val="24"/>
          <w:szCs w:val="24"/>
        </w:rPr>
        <w:t>juristische Personen, deren Anteile sämtlich im wirtschaftlichen Eigentum einer dieser Organisationen st</w:t>
      </w:r>
      <w:r w:rsidRPr="00044ACE">
        <w:rPr>
          <w:iCs/>
          <w:sz w:val="24"/>
          <w:szCs w:val="24"/>
        </w:rPr>
        <w:t>e</w:t>
      </w:r>
      <w:r w:rsidRPr="00044ACE">
        <w:rPr>
          <w:iCs/>
          <w:sz w:val="24"/>
          <w:szCs w:val="24"/>
        </w:rPr>
        <w:t>hen, wenn die juristische Person ausschließlich die Rechtsberatung und Prozessvertr</w:t>
      </w:r>
      <w:r w:rsidRPr="00044ACE">
        <w:rPr>
          <w:iCs/>
          <w:sz w:val="24"/>
          <w:szCs w:val="24"/>
        </w:rPr>
        <w:t>e</w:t>
      </w:r>
      <w:r w:rsidRPr="00044ACE">
        <w:rPr>
          <w:iCs/>
          <w:sz w:val="24"/>
          <w:szCs w:val="24"/>
        </w:rPr>
        <w:t>tung dieser Organisation und ihrer Mitglieder oder anderer Verbände oder Zusamme</w:t>
      </w:r>
      <w:r w:rsidRPr="00044ACE">
        <w:rPr>
          <w:iCs/>
          <w:sz w:val="24"/>
          <w:szCs w:val="24"/>
        </w:rPr>
        <w:t>n</w:t>
      </w:r>
      <w:r w:rsidRPr="00044ACE">
        <w:rPr>
          <w:iCs/>
          <w:sz w:val="24"/>
          <w:szCs w:val="24"/>
        </w:rPr>
        <w:t>schlüsse mit vergleichbarer Ausrichtung und deren Mitglieder entsprechend deren Sa</w:t>
      </w:r>
      <w:r w:rsidRPr="00044ACE">
        <w:rPr>
          <w:iCs/>
          <w:sz w:val="24"/>
          <w:szCs w:val="24"/>
        </w:rPr>
        <w:t>t</w:t>
      </w:r>
      <w:r w:rsidRPr="00044ACE">
        <w:rPr>
          <w:iCs/>
          <w:sz w:val="24"/>
          <w:szCs w:val="24"/>
        </w:rPr>
        <w:t>zung durchführt, und wenn die Organisation für die Tätigkeit der Bevollmächtigten haftet.</w:t>
      </w:r>
      <w:r w:rsidRPr="00044ACE">
        <w:rPr>
          <w:rFonts w:ascii="Arial" w:hAnsi="Arial" w:cs="Arial"/>
          <w:iCs/>
          <w:sz w:val="24"/>
          <w:szCs w:val="24"/>
        </w:rPr>
        <w:t xml:space="preserve"> </w:t>
      </w:r>
      <w:r w:rsidRPr="00044ACE">
        <w:rPr>
          <w:iCs/>
          <w:color w:val="000000"/>
          <w:sz w:val="24"/>
          <w:szCs w:val="24"/>
        </w:rPr>
        <w:t>Diese Bevollmächtigten müssen durch Personen mit der Befähigung zum Ric</w:t>
      </w:r>
      <w:r w:rsidRPr="00044ACE">
        <w:rPr>
          <w:iCs/>
          <w:color w:val="000000"/>
          <w:sz w:val="24"/>
          <w:szCs w:val="24"/>
        </w:rPr>
        <w:t>h</w:t>
      </w:r>
      <w:r w:rsidRPr="00044ACE">
        <w:rPr>
          <w:iCs/>
          <w:color w:val="000000"/>
          <w:sz w:val="24"/>
          <w:szCs w:val="24"/>
        </w:rPr>
        <w:t>teramt handeln.</w:t>
      </w:r>
    </w:p>
    <w:p w:rsidR="00701552" w:rsidRDefault="00701552" w:rsidP="00701552">
      <w:pPr>
        <w:spacing w:before="360"/>
        <w:ind w:left="720"/>
        <w:jc w:val="both"/>
        <w:rPr>
          <w:sz w:val="24"/>
          <w:szCs w:val="24"/>
        </w:rPr>
      </w:pPr>
      <w:r w:rsidRPr="00044ACE">
        <w:rPr>
          <w:sz w:val="24"/>
          <w:szCs w:val="24"/>
        </w:rPr>
        <w:t>Behörden und juristische Personen des öffentlichen Rechts einschließlich der von ihnen zur Erfüllung ihrer öffentlichen Aufgaben gebildeten Zusammenschlüsse können sich durch eigene Beschäftigte mit Befähigung zum Richteramt oder durch Beschäftigte mit Befähigung zum Richteramt anderer Behörden oder juristischer Pers</w:t>
      </w:r>
      <w:r w:rsidRPr="00044ACE">
        <w:rPr>
          <w:sz w:val="24"/>
          <w:szCs w:val="24"/>
        </w:rPr>
        <w:t>o</w:t>
      </w:r>
      <w:r w:rsidRPr="00044ACE">
        <w:rPr>
          <w:sz w:val="24"/>
          <w:szCs w:val="24"/>
        </w:rPr>
        <w:t>nen des öffentlichen Rechts einschließlich der von ihnen zur Erfüllung ihrer öffentl</w:t>
      </w:r>
      <w:r w:rsidRPr="00044ACE">
        <w:rPr>
          <w:sz w:val="24"/>
          <w:szCs w:val="24"/>
        </w:rPr>
        <w:t>i</w:t>
      </w:r>
      <w:r w:rsidRPr="00044ACE">
        <w:rPr>
          <w:sz w:val="24"/>
          <w:szCs w:val="24"/>
        </w:rPr>
        <w:t>chen Aufgaben gebildeten Zusammenschlüsse vertreten lassen.</w:t>
      </w:r>
    </w:p>
    <w:p w:rsidR="00701552" w:rsidRDefault="00701552" w:rsidP="00701552">
      <w:pPr>
        <w:spacing w:before="360"/>
        <w:ind w:left="720"/>
      </w:pPr>
      <w:r w:rsidRPr="00044ACE">
        <w:rPr>
          <w:sz w:val="24"/>
          <w:szCs w:val="24"/>
        </w:rPr>
        <w:t>Ein Beteiligter, der zur Vertretung berechtigt ist, kann sich selbst vertreten</w:t>
      </w:r>
      <w:r>
        <w:rPr>
          <w:sz w:val="24"/>
          <w:szCs w:val="24"/>
        </w:rPr>
        <w:t>.</w:t>
      </w:r>
    </w:p>
    <w:p w:rsidR="00701552" w:rsidRDefault="00701552" w:rsidP="00701552">
      <w:pPr>
        <w:ind w:firstLine="709"/>
        <w:jc w:val="both"/>
        <w:rPr>
          <w:sz w:val="24"/>
        </w:rPr>
      </w:pPr>
    </w:p>
    <w:p w:rsidR="00701552" w:rsidRDefault="00701552" w:rsidP="00701552">
      <w:pPr>
        <w:ind w:firstLine="709"/>
        <w:jc w:val="both"/>
        <w:rPr>
          <w:sz w:val="24"/>
        </w:rPr>
      </w:pPr>
      <w:r>
        <w:rPr>
          <w:sz w:val="24"/>
        </w:rPr>
        <w:t>gez.:</w:t>
      </w:r>
    </w:p>
    <w:p w:rsidR="00701552" w:rsidRDefault="00701552" w:rsidP="00701552">
      <w:pPr>
        <w:ind w:firstLine="709"/>
        <w:jc w:val="both"/>
        <w:rPr>
          <w:sz w:val="24"/>
        </w:rPr>
      </w:pPr>
      <w:r>
        <w:rPr>
          <w:sz w:val="24"/>
        </w:rPr>
        <w:t>Grünberg</w:t>
      </w:r>
      <w:r>
        <w:rPr>
          <w:sz w:val="24"/>
        </w:rPr>
        <w:tab/>
      </w:r>
      <w:r>
        <w:rPr>
          <w:sz w:val="24"/>
        </w:rPr>
        <w:tab/>
      </w:r>
      <w:r>
        <w:rPr>
          <w:sz w:val="24"/>
        </w:rPr>
        <w:tab/>
      </w:r>
      <w:r>
        <w:rPr>
          <w:sz w:val="24"/>
        </w:rPr>
        <w:tab/>
        <w:t xml:space="preserve">   Hahn</w:t>
      </w:r>
      <w:r>
        <w:rPr>
          <w:sz w:val="24"/>
        </w:rPr>
        <w:tab/>
      </w:r>
      <w:r>
        <w:rPr>
          <w:sz w:val="24"/>
        </w:rPr>
        <w:tab/>
      </w:r>
      <w:r>
        <w:rPr>
          <w:sz w:val="24"/>
        </w:rPr>
        <w:tab/>
      </w:r>
      <w:r>
        <w:rPr>
          <w:sz w:val="24"/>
        </w:rPr>
        <w:tab/>
      </w:r>
      <w:r>
        <w:rPr>
          <w:sz w:val="24"/>
        </w:rPr>
        <w:tab/>
        <w:t>Henke</w:t>
      </w:r>
    </w:p>
    <w:p w:rsidR="00701552" w:rsidRDefault="00701552" w:rsidP="00701552">
      <w:pPr>
        <w:ind w:firstLine="709"/>
        <w:jc w:val="both"/>
        <w:rPr>
          <w:sz w:val="24"/>
        </w:rPr>
      </w:pPr>
    </w:p>
    <w:p w:rsidR="00701552" w:rsidRDefault="00701552" w:rsidP="00701552">
      <w:pPr>
        <w:spacing w:before="360" w:line="360" w:lineRule="auto"/>
        <w:ind w:firstLine="709"/>
        <w:jc w:val="center"/>
        <w:rPr>
          <w:b/>
          <w:sz w:val="24"/>
        </w:rPr>
      </w:pPr>
      <w:r w:rsidRPr="005E00C3">
        <w:rPr>
          <w:b/>
          <w:sz w:val="24"/>
        </w:rPr>
        <w:t>Beschluss</w:t>
      </w:r>
    </w:p>
    <w:p w:rsidR="00701552" w:rsidRDefault="00701552" w:rsidP="00701552">
      <w:pPr>
        <w:spacing w:before="360" w:line="360" w:lineRule="auto"/>
        <w:ind w:left="709"/>
        <w:jc w:val="both"/>
        <w:rPr>
          <w:sz w:val="24"/>
        </w:rPr>
      </w:pPr>
      <w:r>
        <w:rPr>
          <w:sz w:val="24"/>
        </w:rPr>
        <w:t>Der Streitwert wird unter teilweiser Abänderung der Streitwertfestsetzung des Verwa</w:t>
      </w:r>
      <w:r>
        <w:rPr>
          <w:sz w:val="24"/>
        </w:rPr>
        <w:t>l</w:t>
      </w:r>
      <w:r>
        <w:rPr>
          <w:sz w:val="24"/>
        </w:rPr>
        <w:t>tungsgerichts ab dem 13. Juli 2011 für beide Rechtszüge auf jeweils 610,45 € festg</w:t>
      </w:r>
      <w:r>
        <w:rPr>
          <w:sz w:val="24"/>
        </w:rPr>
        <w:t>e</w:t>
      </w:r>
      <w:r>
        <w:rPr>
          <w:sz w:val="24"/>
        </w:rPr>
        <w:t>setzt.</w:t>
      </w:r>
    </w:p>
    <w:p w:rsidR="00701552" w:rsidRPr="00C46063" w:rsidRDefault="00701552" w:rsidP="00701552">
      <w:pPr>
        <w:spacing w:before="360" w:line="360" w:lineRule="auto"/>
        <w:ind w:left="709"/>
        <w:jc w:val="center"/>
        <w:rPr>
          <w:b/>
          <w:sz w:val="24"/>
        </w:rPr>
      </w:pPr>
      <w:r w:rsidRPr="00C46063">
        <w:rPr>
          <w:b/>
          <w:sz w:val="24"/>
        </w:rPr>
        <w:t>Gründe</w:t>
      </w:r>
    </w:p>
    <w:p w:rsidR="00701552" w:rsidRDefault="00701552" w:rsidP="00701552">
      <w:pPr>
        <w:spacing w:before="360" w:line="360" w:lineRule="auto"/>
        <w:ind w:left="709"/>
        <w:jc w:val="both"/>
        <w:rPr>
          <w:sz w:val="24"/>
        </w:rPr>
      </w:pPr>
      <w:r>
        <w:rPr>
          <w:noProof/>
          <w:sz w:val="24"/>
        </w:rPr>
        <mc:AlternateContent>
          <mc:Choice Requires="wps">
            <w:drawing>
              <wp:anchor distT="0" distB="0" distL="114300" distR="114300" simplePos="0" relativeHeight="251703296" behindDoc="0" locked="0" layoutInCell="1" allowOverlap="1" wp14:anchorId="79D4A3AB" wp14:editId="6D97E123">
                <wp:simplePos x="0" y="0"/>
                <wp:positionH relativeFrom="column">
                  <wp:posOffset>-6985</wp:posOffset>
                </wp:positionH>
                <wp:positionV relativeFrom="paragraph">
                  <wp:posOffset>228600</wp:posOffset>
                </wp:positionV>
                <wp:extent cx="269875" cy="179705"/>
                <wp:effectExtent l="0" t="0" r="0" b="4445"/>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\r1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 o:spid="_x0000_s1069" type="#_x0000_t202" style="position:absolute;left:0;text-align:left;margin-left:-.55pt;margin-top:18pt;width:21.25pt;height:14.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zCw8GfQIAAAY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\r1 </w:instrText>
                      </w:r>
                      <w:r>
                        <w:fldChar w:fldCharType="separate"/>
                      </w:r>
                      <w:r>
                        <w:rPr>
                          <w:noProof/>
                        </w:rPr>
                        <w:t>1</w:t>
                      </w:r>
                      <w:r>
                        <w:fldChar w:fldCharType="end"/>
                      </w:r>
                    </w:p>
                  </w:txbxContent>
                </v:textbox>
              </v:shape>
            </w:pict>
          </mc:Fallback>
        </mc:AlternateContent>
      </w:r>
      <w:r>
        <w:rPr>
          <w:sz w:val="24"/>
        </w:rPr>
        <w:t>Die Festsetzung und Änderung de Streitwertes beruhen auf § 63 Abs. 2 Satz 1 und Abs. 3, § 47 Abs. 1 Satz 1 und Abs. 2 Satz 1, § 52 Abs. 1 GKG.</w:t>
      </w:r>
    </w:p>
    <w:p w:rsidR="00701552" w:rsidRDefault="00701552" w:rsidP="00701552">
      <w:pPr>
        <w:spacing w:before="360" w:line="360" w:lineRule="auto"/>
        <w:ind w:left="709"/>
        <w:jc w:val="both"/>
        <w:rPr>
          <w:sz w:val="24"/>
        </w:rPr>
      </w:pPr>
      <w:r>
        <w:rPr>
          <w:noProof/>
          <w:sz w:val="24"/>
        </w:rPr>
        <mc:AlternateContent>
          <mc:Choice Requires="wps">
            <w:drawing>
              <wp:anchor distT="0" distB="0" distL="114300" distR="114300" simplePos="0" relativeHeight="251704320" behindDoc="0" locked="0" layoutInCell="1" allowOverlap="1" wp14:anchorId="76A4EBE1" wp14:editId="2FFA13CB">
                <wp:simplePos x="0" y="0"/>
                <wp:positionH relativeFrom="column">
                  <wp:posOffset>-6985</wp:posOffset>
                </wp:positionH>
                <wp:positionV relativeFrom="paragraph">
                  <wp:posOffset>228600</wp:posOffset>
                </wp:positionV>
                <wp:extent cx="269875" cy="179705"/>
                <wp:effectExtent l="0" t="0" r="0" b="254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 o:spid="_x0000_s1070" type="#_x0000_t202" style="position:absolute;left:0;text-align:left;margin-left:-.55pt;margin-top:18pt;width:21.25pt;height:14.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8wfQ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K+88wfQIAAAY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2</w:t>
                      </w:r>
                      <w:r>
                        <w:fldChar w:fldCharType="end"/>
                      </w:r>
                    </w:p>
                  </w:txbxContent>
                </v:textbox>
              </v:shape>
            </w:pict>
          </mc:Fallback>
        </mc:AlternateContent>
      </w:r>
      <w:r>
        <w:rPr>
          <w:sz w:val="24"/>
        </w:rPr>
        <w:t>Die Bedeutung der Sache für den Kläger bemisst sich ab dem Zeitpunkt der teilweisen Erledigung nach der Höhe des von ihm mit 610,45 € bezifferten Schadens, den er im Wege der Amtshaftungsklage geltend zu machen beabsichtigt. Ein Abschlag im Hi</w:t>
      </w:r>
      <w:r>
        <w:rPr>
          <w:sz w:val="24"/>
        </w:rPr>
        <w:t>n</w:t>
      </w:r>
      <w:r>
        <w:rPr>
          <w:sz w:val="24"/>
        </w:rPr>
        <w:t xml:space="preserve">blick auf die Feststellungsklage ist nicht vorzunehmen (vgl. Ziffer 1.3 des </w:t>
      </w:r>
      <w:r>
        <w:rPr>
          <w:sz w:val="24"/>
        </w:rPr>
        <w:lastRenderedPageBreak/>
        <w:t>Streitwer</w:t>
      </w:r>
      <w:r>
        <w:rPr>
          <w:sz w:val="24"/>
        </w:rPr>
        <w:t>t</w:t>
      </w:r>
      <w:r>
        <w:rPr>
          <w:sz w:val="24"/>
        </w:rPr>
        <w:t xml:space="preserve">katalogs für die Verwaltungsgerichtsbarkeit vom 18. Juli 2013, Beilage 2/2013 - zu </w:t>
      </w:r>
      <w:proofErr w:type="spellStart"/>
      <w:r>
        <w:rPr>
          <w:sz w:val="24"/>
        </w:rPr>
        <w:t>NVwZ</w:t>
      </w:r>
      <w:proofErr w:type="spellEnd"/>
      <w:r>
        <w:rPr>
          <w:sz w:val="24"/>
        </w:rPr>
        <w:t xml:space="preserve"> Heft 23/2013 - S. 57-68).</w:t>
      </w:r>
    </w:p>
    <w:p w:rsidR="00701552" w:rsidRDefault="00701552" w:rsidP="00701552">
      <w:pPr>
        <w:spacing w:before="360" w:line="360" w:lineRule="auto"/>
        <w:ind w:left="709"/>
        <w:jc w:val="both"/>
        <w:rPr>
          <w:sz w:val="24"/>
        </w:rPr>
      </w:pPr>
      <w:r>
        <w:rPr>
          <w:noProof/>
          <w:color w:val="FF0000"/>
          <w:sz w:val="16"/>
          <w:u w:val="wavyDouble"/>
        </w:rPr>
        <mc:AlternateContent>
          <mc:Choice Requires="wps">
            <w:drawing>
              <wp:anchor distT="0" distB="0" distL="114300" distR="114300" simplePos="0" relativeHeight="251705344" behindDoc="0" locked="0" layoutInCell="1" allowOverlap="1" wp14:anchorId="27D632BB" wp14:editId="5F64FD8F">
                <wp:simplePos x="0" y="0"/>
                <wp:positionH relativeFrom="column">
                  <wp:posOffset>-6985</wp:posOffset>
                </wp:positionH>
                <wp:positionV relativeFrom="paragraph">
                  <wp:posOffset>228600</wp:posOffset>
                </wp:positionV>
                <wp:extent cx="269875" cy="179705"/>
                <wp:effectExtent l="0" t="3810" r="0" b="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552" w:rsidRDefault="00701552" w:rsidP="00701552">
                            <w:r>
                              <w:fldChar w:fldCharType="begin"/>
                            </w:r>
                            <w:r>
                              <w:instrText xml:space="preserve"> SEQ \a </w:instrText>
                            </w:r>
                            <w:r>
                              <w:fldChar w:fldCharType="separate"/>
                            </w:r>
                            <w:r>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 o:spid="_x0000_s1071" type="#_x0000_t202" style="position:absolute;left:0;text-align:left;margin-left:-.55pt;margin-top:18pt;width:21.25pt;height:14.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adEqrfQIAAAYF&#10;AAAOAAAAAAAAAAAAAAAAAC4CAABkcnMvZTJvRG9jLnhtbFBLAQItABQABgAIAAAAIQCoxW+h3QAA&#10;AAcBAAAPAAAAAAAAAAAAAAAAANcEAABkcnMvZG93bnJldi54bWxQSwUGAAAAAAQABADzAAAA4QUA&#10;AAAA&#10;" stroked="f">
                <v:textbox inset="0,0,0,0">
                  <w:txbxContent>
                    <w:p w:rsidR="00701552" w:rsidRDefault="00701552" w:rsidP="00701552">
                      <w:r>
                        <w:fldChar w:fldCharType="begin"/>
                      </w:r>
                      <w:r>
                        <w:instrText xml:space="preserve"> SEQ \a </w:instrText>
                      </w:r>
                      <w:r>
                        <w:fldChar w:fldCharType="separate"/>
                      </w:r>
                      <w:r>
                        <w:rPr>
                          <w:noProof/>
                        </w:rPr>
                        <w:t>3</w:t>
                      </w:r>
                      <w:r>
                        <w:fldChar w:fldCharType="end"/>
                      </w:r>
                    </w:p>
                  </w:txbxContent>
                </v:textbox>
              </v:shape>
            </w:pict>
          </mc:Fallback>
        </mc:AlternateContent>
      </w:r>
      <w:r>
        <w:rPr>
          <w:sz w:val="24"/>
        </w:rPr>
        <w:t>Der Beschluss ist unanfechtbar (§ 68 Abs. 1 Satz 5 i. V. m. § 66 Abs. 3 Satz 3 GKG).</w:t>
      </w:r>
      <w:bookmarkStart w:id="20" w:name="i_Stempel"/>
      <w:bookmarkEnd w:id="20"/>
    </w:p>
    <w:p w:rsidR="00701552" w:rsidRDefault="00701552" w:rsidP="00701552">
      <w:pPr>
        <w:spacing w:before="360"/>
        <w:ind w:left="709"/>
        <w:jc w:val="both"/>
        <w:rPr>
          <w:sz w:val="24"/>
        </w:rPr>
      </w:pPr>
      <w:r>
        <w:rPr>
          <w:sz w:val="24"/>
        </w:rPr>
        <w:t>gez.:</w:t>
      </w:r>
    </w:p>
    <w:p w:rsidR="00701552" w:rsidRDefault="00701552" w:rsidP="00701552">
      <w:pPr>
        <w:ind w:firstLine="709"/>
        <w:jc w:val="both"/>
        <w:rPr>
          <w:sz w:val="24"/>
        </w:rPr>
      </w:pPr>
      <w:r>
        <w:rPr>
          <w:sz w:val="24"/>
        </w:rPr>
        <w:t>Grünberg</w:t>
      </w:r>
      <w:r>
        <w:rPr>
          <w:sz w:val="24"/>
        </w:rPr>
        <w:tab/>
      </w:r>
      <w:r>
        <w:rPr>
          <w:sz w:val="24"/>
        </w:rPr>
        <w:tab/>
      </w:r>
      <w:r>
        <w:rPr>
          <w:sz w:val="24"/>
        </w:rPr>
        <w:tab/>
      </w:r>
      <w:r>
        <w:rPr>
          <w:sz w:val="24"/>
        </w:rPr>
        <w:tab/>
        <w:t xml:space="preserve">   Hahn</w:t>
      </w:r>
      <w:r>
        <w:rPr>
          <w:sz w:val="24"/>
        </w:rPr>
        <w:tab/>
      </w:r>
      <w:r>
        <w:rPr>
          <w:sz w:val="24"/>
        </w:rPr>
        <w:tab/>
      </w:r>
      <w:r>
        <w:rPr>
          <w:sz w:val="24"/>
        </w:rPr>
        <w:tab/>
      </w:r>
      <w:r>
        <w:rPr>
          <w:sz w:val="24"/>
        </w:rPr>
        <w:tab/>
      </w:r>
      <w:r>
        <w:rPr>
          <w:sz w:val="24"/>
        </w:rPr>
        <w:tab/>
        <w:t>Henke</w:t>
      </w:r>
    </w:p>
    <w:p w:rsidR="00701552" w:rsidRDefault="00701552" w:rsidP="00701552">
      <w:pPr>
        <w:spacing w:line="360" w:lineRule="auto"/>
        <w:ind w:left="5672"/>
        <w:jc w:val="both"/>
        <w:rPr>
          <w:rFonts w:ascii="Arial" w:hAnsi="Arial" w:cs="Arial"/>
          <w:i/>
        </w:rPr>
      </w:pPr>
      <w:r>
        <w:rPr>
          <w:rFonts w:ascii="Arial" w:hAnsi="Arial" w:cs="Arial"/>
          <w:i/>
        </w:rPr>
        <w:t>Ausgefertigt:</w:t>
      </w:r>
    </w:p>
    <w:p w:rsidR="00701552" w:rsidRDefault="00701552" w:rsidP="00701552">
      <w:pPr>
        <w:spacing w:line="360" w:lineRule="auto"/>
        <w:ind w:left="5672"/>
        <w:jc w:val="both"/>
        <w:rPr>
          <w:rFonts w:ascii="Arial" w:hAnsi="Arial" w:cs="Arial"/>
          <w:i/>
        </w:rPr>
      </w:pPr>
      <w:r>
        <w:rPr>
          <w:rFonts w:ascii="Arial" w:hAnsi="Arial" w:cs="Arial"/>
          <w:i/>
        </w:rPr>
        <w:t xml:space="preserve">Bautzen, den </w:t>
      </w:r>
      <w:bookmarkStart w:id="21" w:name="i_datum"/>
      <w:bookmarkEnd w:id="21"/>
    </w:p>
    <w:p w:rsidR="00701552" w:rsidRDefault="00701552" w:rsidP="00701552">
      <w:pPr>
        <w:spacing w:line="360" w:lineRule="auto"/>
        <w:ind w:left="5672"/>
        <w:jc w:val="both"/>
        <w:rPr>
          <w:rFonts w:ascii="Arial" w:hAnsi="Arial" w:cs="Arial"/>
          <w:i/>
        </w:rPr>
      </w:pPr>
      <w:r>
        <w:rPr>
          <w:rFonts w:ascii="Arial" w:hAnsi="Arial" w:cs="Arial"/>
          <w:i/>
        </w:rPr>
        <w:t>Sächsisches Oberverwaltungsgericht</w:t>
      </w:r>
    </w:p>
    <w:p w:rsidR="00701552" w:rsidRDefault="00701552" w:rsidP="00701552">
      <w:pPr>
        <w:spacing w:line="360" w:lineRule="auto"/>
        <w:ind w:left="5672"/>
        <w:jc w:val="both"/>
        <w:rPr>
          <w:rFonts w:ascii="Arial" w:hAnsi="Arial" w:cs="Arial"/>
          <w:i/>
        </w:rPr>
      </w:pPr>
    </w:p>
    <w:p w:rsidR="00701552" w:rsidRDefault="00701552" w:rsidP="00701552">
      <w:pPr>
        <w:spacing w:line="360" w:lineRule="auto"/>
        <w:ind w:left="5672"/>
        <w:jc w:val="both"/>
        <w:rPr>
          <w:rFonts w:ascii="Arial" w:hAnsi="Arial" w:cs="Arial"/>
          <w:i/>
        </w:rPr>
      </w:pPr>
      <w:bookmarkStart w:id="22" w:name="i_bearbeiter"/>
      <w:bookmarkEnd w:id="22"/>
      <w:proofErr w:type="spellStart"/>
      <w:r>
        <w:rPr>
          <w:rFonts w:ascii="Arial" w:hAnsi="Arial" w:cs="Arial"/>
          <w:i/>
        </w:rPr>
        <w:t>Gentsch</w:t>
      </w:r>
      <w:proofErr w:type="spellEnd"/>
    </w:p>
    <w:p w:rsidR="00701552" w:rsidRPr="004B4E91" w:rsidRDefault="00701552" w:rsidP="00701552">
      <w:pPr>
        <w:spacing w:line="360" w:lineRule="auto"/>
        <w:ind w:left="5672"/>
        <w:jc w:val="both"/>
        <w:rPr>
          <w:rFonts w:ascii="Arial" w:hAnsi="Arial" w:cs="Arial"/>
          <w:i/>
        </w:rPr>
      </w:pPr>
      <w:bookmarkStart w:id="23" w:name="i_bearbeiter_bezeichnung"/>
      <w:bookmarkEnd w:id="23"/>
      <w:r>
        <w:rPr>
          <w:rFonts w:ascii="Arial" w:hAnsi="Arial" w:cs="Arial"/>
          <w:i/>
        </w:rPr>
        <w:t>Urkundsbeamtin der Geschäftsstelle</w:t>
      </w:r>
    </w:p>
    <w:sectPr w:rsidR="00701552" w:rsidRPr="004B4E91" w:rsidSect="00795928">
      <w:pgSz w:w="11907" w:h="16840" w:code="9"/>
      <w:pgMar w:top="1417" w:right="1417" w:bottom="1417" w:left="1417" w:header="709" w:footer="28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552" w:rsidRDefault="00701552" w:rsidP="00701552">
      <w:r>
        <w:separator/>
      </w:r>
    </w:p>
  </w:endnote>
  <w:endnote w:type="continuationSeparator" w:id="0">
    <w:p w:rsidR="00701552" w:rsidRDefault="00701552" w:rsidP="00701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386" w:rsidRDefault="00F25D6E">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386" w:rsidRDefault="00F25D6E">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386" w:rsidRDefault="00F25D6E">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552" w:rsidRDefault="00701552" w:rsidP="00701552">
      <w:r>
        <w:separator/>
      </w:r>
    </w:p>
  </w:footnote>
  <w:footnote w:type="continuationSeparator" w:id="0">
    <w:p w:rsidR="00701552" w:rsidRDefault="00701552" w:rsidP="00701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78A" w:rsidRDefault="00F25D6E" w:rsidP="00795928">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FC678A" w:rsidRDefault="00F25D6E">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78A" w:rsidRDefault="00F25D6E" w:rsidP="00795928">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17</w:t>
    </w:r>
    <w:r>
      <w:rPr>
        <w:rStyle w:val="Seitenzahl"/>
      </w:rPr>
      <w:fldChar w:fldCharType="end"/>
    </w:r>
  </w:p>
  <w:p w:rsidR="00FC678A" w:rsidRDefault="00F25D6E">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1" w:type="dxa"/>
        <w:right w:w="71" w:type="dxa"/>
      </w:tblCellMar>
      <w:tblLook w:val="0000" w:firstRow="0" w:lastRow="0" w:firstColumn="0" w:lastColumn="0" w:noHBand="0" w:noVBand="0"/>
    </w:tblPr>
    <w:tblGrid>
      <w:gridCol w:w="3572"/>
      <w:gridCol w:w="1985"/>
      <w:gridCol w:w="3753"/>
    </w:tblGrid>
    <w:tr w:rsidR="00FC678A" w:rsidTr="00244CDA">
      <w:trPr>
        <w:trHeight w:hRule="exact" w:val="624"/>
      </w:trPr>
      <w:tc>
        <w:tcPr>
          <w:tcW w:w="3572" w:type="dxa"/>
          <w:tcBorders>
            <w:right w:val="single" w:sz="4" w:space="0" w:color="auto"/>
          </w:tcBorders>
        </w:tcPr>
        <w:p w:rsidR="00FC678A" w:rsidRDefault="00F25D6E" w:rsidP="008742EB">
          <w:pPr>
            <w:ind w:right="-70"/>
            <w:rPr>
              <w:sz w:val="24"/>
            </w:rPr>
          </w:pPr>
        </w:p>
      </w:tc>
      <w:tc>
        <w:tcPr>
          <w:tcW w:w="1985" w:type="dxa"/>
          <w:tcBorders>
            <w:left w:val="single" w:sz="4" w:space="0" w:color="auto"/>
            <w:right w:val="single" w:sz="4" w:space="0" w:color="auto"/>
          </w:tcBorders>
          <w:shd w:val="clear" w:color="auto" w:fill="auto"/>
          <w:vAlign w:val="bottom"/>
        </w:tcPr>
        <w:p w:rsidR="00FC678A" w:rsidRPr="004B4E91" w:rsidRDefault="00F25D6E" w:rsidP="004B4E91">
          <w:pPr>
            <w:jc w:val="center"/>
            <w:rPr>
              <w:rFonts w:ascii="Arial" w:hAnsi="Arial" w:cs="Arial"/>
              <w:sz w:val="24"/>
            </w:rPr>
          </w:pPr>
          <w:r>
            <w:rPr>
              <w:rFonts w:ascii="Arial" w:hAnsi="Arial" w:cs="Arial"/>
              <w:sz w:val="24"/>
            </w:rPr>
            <w:t>Ausfertigung</w:t>
          </w:r>
        </w:p>
      </w:tc>
      <w:tc>
        <w:tcPr>
          <w:tcW w:w="3753" w:type="dxa"/>
          <w:tcBorders>
            <w:left w:val="single" w:sz="4" w:space="0" w:color="auto"/>
          </w:tcBorders>
        </w:tcPr>
        <w:p w:rsidR="00FC678A" w:rsidRDefault="00F25D6E" w:rsidP="008742EB">
          <w:pPr>
            <w:rPr>
              <w:sz w:val="24"/>
            </w:rPr>
          </w:pPr>
        </w:p>
      </w:tc>
    </w:tr>
    <w:tr w:rsidR="00FC678A">
      <w:tc>
        <w:tcPr>
          <w:tcW w:w="3572" w:type="dxa"/>
          <w:tcBorders>
            <w:right w:val="single" w:sz="4" w:space="0" w:color="auto"/>
          </w:tcBorders>
        </w:tcPr>
        <w:tbl>
          <w:tblPr>
            <w:tblW w:w="0" w:type="auto"/>
            <w:tblLayout w:type="fixed"/>
            <w:tblLook w:val="01E0" w:firstRow="1" w:lastRow="1" w:firstColumn="1" w:lastColumn="1" w:noHBand="0" w:noVBand="0"/>
          </w:tblPr>
          <w:tblGrid>
            <w:gridCol w:w="595"/>
            <w:gridCol w:w="1531"/>
          </w:tblGrid>
          <w:tr w:rsidR="00FC678A" w:rsidRPr="00D24ED0" w:rsidTr="00795928">
            <w:tc>
              <w:tcPr>
                <w:tcW w:w="595" w:type="dxa"/>
                <w:shd w:val="clear" w:color="auto" w:fill="auto"/>
              </w:tcPr>
              <w:p w:rsidR="00FC678A" w:rsidRPr="00795928" w:rsidRDefault="00F25D6E" w:rsidP="00795928">
                <w:pPr>
                  <w:ind w:right="-70"/>
                  <w:rPr>
                    <w:sz w:val="24"/>
                    <w:szCs w:val="24"/>
                  </w:rPr>
                </w:pPr>
                <w:r w:rsidRPr="00795928">
                  <w:rPr>
                    <w:sz w:val="24"/>
                    <w:szCs w:val="24"/>
                  </w:rPr>
                  <w:t>Az.:</w:t>
                </w:r>
              </w:p>
            </w:tc>
            <w:tc>
              <w:tcPr>
                <w:tcW w:w="1531" w:type="dxa"/>
                <w:tcBorders>
                  <w:bottom w:val="single" w:sz="4" w:space="0" w:color="auto"/>
                </w:tcBorders>
                <w:shd w:val="clear" w:color="auto" w:fill="auto"/>
              </w:tcPr>
              <w:p w:rsidR="00FC678A" w:rsidRPr="00795928" w:rsidRDefault="00F25D6E" w:rsidP="00795928">
                <w:pPr>
                  <w:ind w:right="-70"/>
                  <w:rPr>
                    <w:sz w:val="24"/>
                    <w:szCs w:val="24"/>
                  </w:rPr>
                </w:pPr>
                <w:bookmarkStart w:id="10" w:name="i_az_"/>
                <w:bookmarkEnd w:id="10"/>
                <w:r>
                  <w:rPr>
                    <w:sz w:val="24"/>
                    <w:szCs w:val="24"/>
                  </w:rPr>
                  <w:t>2 A 813/13</w:t>
                </w:r>
              </w:p>
            </w:tc>
          </w:tr>
          <w:tr w:rsidR="00FC678A" w:rsidRPr="00D24ED0" w:rsidTr="00795928">
            <w:tc>
              <w:tcPr>
                <w:tcW w:w="595" w:type="dxa"/>
                <w:shd w:val="clear" w:color="auto" w:fill="auto"/>
              </w:tcPr>
              <w:p w:rsidR="00FC678A" w:rsidRPr="00795928" w:rsidRDefault="00F25D6E" w:rsidP="00795928">
                <w:pPr>
                  <w:ind w:right="-70"/>
                  <w:rPr>
                    <w:sz w:val="24"/>
                  </w:rPr>
                </w:pPr>
              </w:p>
            </w:tc>
            <w:tc>
              <w:tcPr>
                <w:tcW w:w="1531" w:type="dxa"/>
                <w:tcBorders>
                  <w:top w:val="single" w:sz="4" w:space="0" w:color="auto"/>
                </w:tcBorders>
                <w:shd w:val="clear" w:color="auto" w:fill="auto"/>
              </w:tcPr>
              <w:p w:rsidR="00FC678A" w:rsidRPr="00795928" w:rsidRDefault="00F25D6E" w:rsidP="00795928">
                <w:pPr>
                  <w:ind w:right="-70"/>
                  <w:rPr>
                    <w:sz w:val="24"/>
                  </w:rPr>
                </w:pPr>
                <w:bookmarkStart w:id="11" w:name="vorinstanz_az_"/>
                <w:bookmarkEnd w:id="11"/>
                <w:r>
                  <w:rPr>
                    <w:sz w:val="24"/>
                  </w:rPr>
                  <w:t>3 K 499/10</w:t>
                </w:r>
              </w:p>
            </w:tc>
          </w:tr>
        </w:tbl>
        <w:p w:rsidR="00FC678A" w:rsidRDefault="00F25D6E" w:rsidP="00D14FD4">
          <w:pPr>
            <w:ind w:right="-70"/>
            <w:rPr>
              <w:sz w:val="24"/>
            </w:rPr>
          </w:pPr>
        </w:p>
      </w:tc>
      <w:tc>
        <w:tcPr>
          <w:tcW w:w="1985" w:type="dxa"/>
          <w:tcBorders>
            <w:left w:val="single" w:sz="4" w:space="0" w:color="auto"/>
            <w:right w:val="single" w:sz="4" w:space="0" w:color="auto"/>
          </w:tcBorders>
          <w:shd w:val="clear" w:color="auto" w:fill="auto"/>
        </w:tcPr>
        <w:p w:rsidR="00FC678A" w:rsidRDefault="00701552" w:rsidP="00D14FD4">
          <w:pPr>
            <w:jc w:val="center"/>
          </w:pPr>
          <w:r>
            <w:rPr>
              <w:noProof/>
            </w:rPr>
            <w:drawing>
              <wp:inline distT="0" distB="0" distL="0" distR="0" wp14:anchorId="1F2C5353" wp14:editId="02854F21">
                <wp:extent cx="1169035" cy="977900"/>
                <wp:effectExtent l="0" t="0" r="0" b="0"/>
                <wp:docPr id="47" name="Grafik 47" descr="W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WAPP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035" cy="977900"/>
                        </a:xfrm>
                        <a:prstGeom prst="rect">
                          <a:avLst/>
                        </a:prstGeom>
                        <a:noFill/>
                        <a:ln>
                          <a:noFill/>
                        </a:ln>
                      </pic:spPr>
                    </pic:pic>
                  </a:graphicData>
                </a:graphic>
              </wp:inline>
            </w:drawing>
          </w:r>
        </w:p>
      </w:tc>
      <w:tc>
        <w:tcPr>
          <w:tcW w:w="3753" w:type="dxa"/>
          <w:tcBorders>
            <w:left w:val="single" w:sz="4" w:space="0" w:color="auto"/>
          </w:tcBorders>
        </w:tcPr>
        <w:p w:rsidR="00FC678A" w:rsidRDefault="00F25D6E" w:rsidP="00D14FD4">
          <w:pPr>
            <w:jc w:val="center"/>
            <w:rPr>
              <w:sz w:val="24"/>
            </w:rPr>
          </w:pPr>
        </w:p>
      </w:tc>
    </w:tr>
  </w:tbl>
  <w:p w:rsidR="00FC678A" w:rsidRDefault="00F25D6E" w:rsidP="00D23317">
    <w:pPr>
      <w:rPr>
        <w:sz w:val="24"/>
      </w:rPr>
    </w:pPr>
  </w:p>
  <w:p w:rsidR="00FC678A" w:rsidRDefault="00F25D6E">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50428D8"/>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5BDC89E8"/>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3F146598"/>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CA22FDA0"/>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D8E8CBA2"/>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78CA45A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82C4334C"/>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C1E2A63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C0285C0E"/>
    <w:lvl w:ilvl="0">
      <w:start w:val="1"/>
      <w:numFmt w:val="decimal"/>
      <w:pStyle w:val="Listennummer"/>
      <w:lvlText w:val="%1."/>
      <w:lvlJc w:val="left"/>
      <w:pPr>
        <w:tabs>
          <w:tab w:val="num" w:pos="360"/>
        </w:tabs>
        <w:ind w:left="360" w:hanging="360"/>
      </w:pPr>
    </w:lvl>
  </w:abstractNum>
  <w:abstractNum w:abstractNumId="9">
    <w:nsid w:val="FFFFFF89"/>
    <w:multiLevelType w:val="singleLevel"/>
    <w:tmpl w:val="6076006C"/>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28201873"/>
    <w:multiLevelType w:val="multilevel"/>
    <w:tmpl w:val="04070023"/>
    <w:styleLink w:val="ArtikelAbschnitt"/>
    <w:lvl w:ilvl="0">
      <w:start w:val="1"/>
      <w:numFmt w:val="upperRoman"/>
      <w:pStyle w:val="berschrift1"/>
      <w:lvlText w:val="Artikel %1."/>
      <w:lvlJc w:val="left"/>
      <w:pPr>
        <w:ind w:left="0" w:firstLine="0"/>
      </w:pPr>
    </w:lvl>
    <w:lvl w:ilvl="1">
      <w:start w:val="1"/>
      <w:numFmt w:val="decimalZero"/>
      <w:pStyle w:val="berschrift2"/>
      <w:isLgl/>
      <w:lvlText w:val="Abschnitt %1.%2"/>
      <w:lvlJc w:val="left"/>
      <w:pPr>
        <w:ind w:left="0" w:firstLine="0"/>
      </w:pPr>
    </w:lvl>
    <w:lvl w:ilvl="2">
      <w:start w:val="1"/>
      <w:numFmt w:val="lowerLetter"/>
      <w:pStyle w:val="berschrift3"/>
      <w:lvlText w:val="(%3)"/>
      <w:lvlJc w:val="left"/>
      <w:pPr>
        <w:ind w:left="720" w:hanging="432"/>
      </w:pPr>
    </w:lvl>
    <w:lvl w:ilvl="3">
      <w:start w:val="1"/>
      <w:numFmt w:val="lowerRoman"/>
      <w:pStyle w:val="berschrift4"/>
      <w:lvlText w:val="(%4)"/>
      <w:lvlJc w:val="right"/>
      <w:pPr>
        <w:ind w:left="864" w:hanging="144"/>
      </w:pPr>
    </w:lvl>
    <w:lvl w:ilvl="4">
      <w:start w:val="1"/>
      <w:numFmt w:val="decimal"/>
      <w:pStyle w:val="berschrift5"/>
      <w:lvlText w:val="%5)"/>
      <w:lvlJc w:val="left"/>
      <w:pPr>
        <w:ind w:left="1008" w:hanging="432"/>
      </w:pPr>
    </w:lvl>
    <w:lvl w:ilvl="5">
      <w:start w:val="1"/>
      <w:numFmt w:val="lowerLetter"/>
      <w:pStyle w:val="berschrift6"/>
      <w:lvlText w:val="%6)"/>
      <w:lvlJc w:val="left"/>
      <w:pPr>
        <w:ind w:left="1152" w:hanging="432"/>
      </w:pPr>
    </w:lvl>
    <w:lvl w:ilvl="6">
      <w:start w:val="1"/>
      <w:numFmt w:val="lowerRoman"/>
      <w:pStyle w:val="berschrift7"/>
      <w:lvlText w:val="%7)"/>
      <w:lvlJc w:val="right"/>
      <w:pPr>
        <w:ind w:left="1296" w:hanging="288"/>
      </w:pPr>
    </w:lvl>
    <w:lvl w:ilvl="7">
      <w:start w:val="1"/>
      <w:numFmt w:val="lowerLetter"/>
      <w:pStyle w:val="berschrift8"/>
      <w:lvlText w:val="%8."/>
      <w:lvlJc w:val="left"/>
      <w:pPr>
        <w:ind w:left="1440" w:hanging="432"/>
      </w:pPr>
    </w:lvl>
    <w:lvl w:ilvl="8">
      <w:start w:val="1"/>
      <w:numFmt w:val="lowerRoman"/>
      <w:pStyle w:val="berschrift9"/>
      <w:lvlText w:val="%9."/>
      <w:lvlJc w:val="right"/>
      <w:pPr>
        <w:ind w:left="1584" w:hanging="144"/>
      </w:pPr>
    </w:lvl>
  </w:abstractNum>
  <w:abstractNum w:abstractNumId="11">
    <w:nsid w:val="326A3AD6"/>
    <w:multiLevelType w:val="multilevel"/>
    <w:tmpl w:val="0407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C4853E7"/>
    <w:multiLevelType w:val="multilevel"/>
    <w:tmpl w:val="04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nonymisiert" w:val="1"/>
  </w:docVars>
  <w:rsids>
    <w:rsidRoot w:val="00701552"/>
    <w:rsid w:val="0029726D"/>
    <w:rsid w:val="0033563B"/>
    <w:rsid w:val="003B4607"/>
    <w:rsid w:val="005C5E88"/>
    <w:rsid w:val="005C62A0"/>
    <w:rsid w:val="00701552"/>
    <w:rsid w:val="00746752"/>
    <w:rsid w:val="00D260B8"/>
    <w:rsid w:val="00D9153F"/>
    <w:rsid w:val="00DD6A8C"/>
    <w:rsid w:val="00F25D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701552"/>
    <w:pPr>
      <w:keepNext/>
      <w:numPr>
        <w:numId w:val="8"/>
      </w:numPr>
      <w:tabs>
        <w:tab w:val="clear" w:pos="926"/>
      </w:tabs>
      <w:ind w:left="0" w:firstLine="0"/>
      <w:jc w:val="center"/>
      <w:outlineLvl w:val="0"/>
    </w:pPr>
    <w:rPr>
      <w:b/>
      <w:sz w:val="28"/>
    </w:rPr>
  </w:style>
  <w:style w:type="paragraph" w:styleId="berschrift2">
    <w:name w:val="heading 2"/>
    <w:basedOn w:val="Standard"/>
    <w:next w:val="Standard"/>
    <w:link w:val="berschrift2Zchn"/>
    <w:semiHidden/>
    <w:unhideWhenUsed/>
    <w:qFormat/>
    <w:rsid w:val="00701552"/>
    <w:pPr>
      <w:keepNext/>
      <w:numPr>
        <w:ilvl w:val="1"/>
        <w:numId w:val="8"/>
      </w:numPr>
      <w:tabs>
        <w:tab w:val="clear" w:pos="926"/>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701552"/>
    <w:pPr>
      <w:keepNext/>
      <w:numPr>
        <w:ilvl w:val="2"/>
        <w:numId w:val="8"/>
      </w:numPr>
      <w:tabs>
        <w:tab w:val="clear" w:pos="926"/>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701552"/>
    <w:pPr>
      <w:keepNext/>
      <w:numPr>
        <w:ilvl w:val="3"/>
        <w:numId w:val="8"/>
      </w:numPr>
      <w:tabs>
        <w:tab w:val="clear" w:pos="926"/>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701552"/>
    <w:pPr>
      <w:numPr>
        <w:ilvl w:val="4"/>
        <w:numId w:val="8"/>
      </w:numPr>
      <w:tabs>
        <w:tab w:val="clear" w:pos="926"/>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701552"/>
    <w:pPr>
      <w:numPr>
        <w:ilvl w:val="5"/>
        <w:numId w:val="8"/>
      </w:numPr>
      <w:tabs>
        <w:tab w:val="clear" w:pos="926"/>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701552"/>
    <w:pPr>
      <w:numPr>
        <w:ilvl w:val="6"/>
        <w:numId w:val="8"/>
      </w:numPr>
      <w:tabs>
        <w:tab w:val="clear" w:pos="926"/>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701552"/>
    <w:pPr>
      <w:numPr>
        <w:ilvl w:val="7"/>
        <w:numId w:val="8"/>
      </w:numPr>
      <w:tabs>
        <w:tab w:val="clear" w:pos="926"/>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701552"/>
    <w:pPr>
      <w:numPr>
        <w:ilvl w:val="8"/>
        <w:numId w:val="8"/>
      </w:numPr>
      <w:tabs>
        <w:tab w:val="clear" w:pos="926"/>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701552"/>
  </w:style>
  <w:style w:type="paragraph" w:styleId="Anrede">
    <w:name w:val="Salutation"/>
    <w:basedOn w:val="Standard"/>
    <w:next w:val="Standard"/>
    <w:link w:val="AnredeZchn"/>
    <w:rsid w:val="00701552"/>
    <w:rPr>
      <w:sz w:val="24"/>
      <w:szCs w:val="24"/>
    </w:rPr>
  </w:style>
  <w:style w:type="character" w:customStyle="1" w:styleId="AnredeZchn">
    <w:name w:val="Anrede Zchn"/>
    <w:basedOn w:val="Absatz-Standardschriftart"/>
    <w:link w:val="Anrede"/>
    <w:rsid w:val="00701552"/>
    <w:rPr>
      <w:noProof w:val="0"/>
      <w:sz w:val="24"/>
      <w:szCs w:val="24"/>
    </w:rPr>
  </w:style>
  <w:style w:type="paragraph" w:styleId="Aufzhlungszeichen">
    <w:name w:val="List Bullet"/>
    <w:basedOn w:val="Standard"/>
    <w:rsid w:val="00701552"/>
    <w:pPr>
      <w:numPr>
        <w:numId w:val="9"/>
      </w:numPr>
      <w:tabs>
        <w:tab w:val="clear" w:pos="1209"/>
        <w:tab w:val="num" w:pos="360"/>
      </w:tabs>
      <w:ind w:left="360"/>
      <w:contextualSpacing/>
    </w:pPr>
  </w:style>
  <w:style w:type="paragraph" w:styleId="Aufzhlungszeichen2">
    <w:name w:val="List Bullet 2"/>
    <w:basedOn w:val="Standard"/>
    <w:rsid w:val="00701552"/>
    <w:pPr>
      <w:numPr>
        <w:numId w:val="10"/>
      </w:numPr>
      <w:tabs>
        <w:tab w:val="clear" w:pos="1492"/>
        <w:tab w:val="num" w:pos="643"/>
      </w:tabs>
      <w:ind w:left="643"/>
      <w:contextualSpacing/>
    </w:pPr>
  </w:style>
  <w:style w:type="paragraph" w:styleId="Aufzhlungszeichen3">
    <w:name w:val="List Bullet 3"/>
    <w:basedOn w:val="Standard"/>
    <w:rsid w:val="00701552"/>
    <w:pPr>
      <w:numPr>
        <w:numId w:val="11"/>
      </w:numPr>
      <w:tabs>
        <w:tab w:val="num" w:pos="926"/>
      </w:tabs>
      <w:ind w:left="926"/>
      <w:contextualSpacing/>
    </w:pPr>
  </w:style>
  <w:style w:type="paragraph" w:styleId="Aufzhlungszeichen4">
    <w:name w:val="List Bullet 4"/>
    <w:basedOn w:val="Standard"/>
    <w:rsid w:val="00701552"/>
    <w:pPr>
      <w:numPr>
        <w:numId w:val="12"/>
      </w:numPr>
      <w:tabs>
        <w:tab w:val="num" w:pos="1209"/>
      </w:tabs>
      <w:ind w:left="1209"/>
      <w:contextualSpacing/>
    </w:pPr>
  </w:style>
  <w:style w:type="paragraph" w:styleId="Aufzhlungszeichen5">
    <w:name w:val="List Bullet 5"/>
    <w:basedOn w:val="Standard"/>
    <w:rsid w:val="00701552"/>
    <w:pPr>
      <w:numPr>
        <w:numId w:val="13"/>
      </w:numPr>
      <w:tabs>
        <w:tab w:val="num" w:pos="1492"/>
      </w:tabs>
      <w:ind w:left="1492" w:hanging="360"/>
      <w:contextualSpacing/>
    </w:pPr>
  </w:style>
  <w:style w:type="paragraph" w:styleId="Beschriftung">
    <w:name w:val="caption"/>
    <w:basedOn w:val="Standard"/>
    <w:next w:val="Standard"/>
    <w:semiHidden/>
    <w:unhideWhenUsed/>
    <w:qFormat/>
    <w:rsid w:val="00701552"/>
    <w:rPr>
      <w:b/>
      <w:bCs/>
    </w:rPr>
  </w:style>
  <w:style w:type="paragraph" w:styleId="Blocktext">
    <w:name w:val="Block Text"/>
    <w:basedOn w:val="Standard"/>
    <w:rsid w:val="00701552"/>
    <w:pPr>
      <w:spacing w:after="120"/>
      <w:ind w:left="1440" w:right="1440"/>
    </w:pPr>
  </w:style>
  <w:style w:type="paragraph" w:styleId="Datum">
    <w:name w:val="Date"/>
    <w:basedOn w:val="Standard"/>
    <w:next w:val="Standard"/>
    <w:link w:val="DatumZchn"/>
    <w:rsid w:val="00701552"/>
    <w:rPr>
      <w:sz w:val="24"/>
      <w:szCs w:val="24"/>
    </w:rPr>
  </w:style>
  <w:style w:type="character" w:customStyle="1" w:styleId="DatumZchn">
    <w:name w:val="Datum Zchn"/>
    <w:basedOn w:val="Absatz-Standardschriftart"/>
    <w:link w:val="Datum"/>
    <w:rsid w:val="00701552"/>
    <w:rPr>
      <w:noProof w:val="0"/>
      <w:sz w:val="24"/>
      <w:szCs w:val="24"/>
    </w:rPr>
  </w:style>
  <w:style w:type="paragraph" w:styleId="Dokumentstruktur">
    <w:name w:val="Document Map"/>
    <w:basedOn w:val="Standard"/>
    <w:link w:val="DokumentstrukturZchn"/>
    <w:rsid w:val="00701552"/>
    <w:rPr>
      <w:rFonts w:ascii="Tahoma" w:hAnsi="Tahoma" w:cs="Tahoma"/>
      <w:sz w:val="16"/>
      <w:szCs w:val="16"/>
    </w:rPr>
  </w:style>
  <w:style w:type="character" w:customStyle="1" w:styleId="DokumentstrukturZchn">
    <w:name w:val="Dokumentstruktur Zchn"/>
    <w:basedOn w:val="Absatz-Standardschriftart"/>
    <w:link w:val="Dokumentstruktur"/>
    <w:rsid w:val="00701552"/>
    <w:rPr>
      <w:rFonts w:ascii="Tahoma" w:hAnsi="Tahoma" w:cs="Tahoma"/>
      <w:noProof w:val="0"/>
      <w:sz w:val="16"/>
      <w:szCs w:val="16"/>
    </w:rPr>
  </w:style>
  <w:style w:type="paragraph" w:styleId="E-Mail-Signatur">
    <w:name w:val="E-mail Signature"/>
    <w:basedOn w:val="Standard"/>
    <w:link w:val="E-Mail-SignaturZchn"/>
    <w:rsid w:val="00701552"/>
    <w:rPr>
      <w:sz w:val="24"/>
      <w:szCs w:val="24"/>
    </w:rPr>
  </w:style>
  <w:style w:type="character" w:customStyle="1" w:styleId="E-Mail-SignaturZchn">
    <w:name w:val="E-Mail-Signatur Zchn"/>
    <w:basedOn w:val="Absatz-Standardschriftart"/>
    <w:link w:val="E-Mail-Signatur"/>
    <w:rsid w:val="00701552"/>
    <w:rPr>
      <w:noProof w:val="0"/>
      <w:sz w:val="24"/>
      <w:szCs w:val="24"/>
    </w:rPr>
  </w:style>
  <w:style w:type="paragraph" w:styleId="Endnotentext">
    <w:name w:val="endnote text"/>
    <w:basedOn w:val="Standard"/>
    <w:link w:val="EndnotentextZchn"/>
    <w:rsid w:val="00701552"/>
  </w:style>
  <w:style w:type="character" w:customStyle="1" w:styleId="EndnotentextZchn">
    <w:name w:val="Endnotentext Zchn"/>
    <w:basedOn w:val="Absatz-Standardschriftart"/>
    <w:link w:val="Endnotentext"/>
    <w:rsid w:val="00701552"/>
    <w:rPr>
      <w:noProof w:val="0"/>
    </w:rPr>
  </w:style>
  <w:style w:type="paragraph" w:styleId="Fu-Endnotenberschrift">
    <w:name w:val="Note Heading"/>
    <w:basedOn w:val="Standard"/>
    <w:next w:val="Standard"/>
    <w:link w:val="Fu-EndnotenberschriftZchn"/>
    <w:rsid w:val="00701552"/>
    <w:rPr>
      <w:sz w:val="24"/>
      <w:szCs w:val="24"/>
    </w:rPr>
  </w:style>
  <w:style w:type="character" w:customStyle="1" w:styleId="Fu-EndnotenberschriftZchn">
    <w:name w:val="Fuß/-Endnotenüberschrift Zchn"/>
    <w:basedOn w:val="Absatz-Standardschriftart"/>
    <w:link w:val="Fu-Endnotenberschrift"/>
    <w:rsid w:val="00701552"/>
    <w:rPr>
      <w:noProof w:val="0"/>
      <w:sz w:val="24"/>
      <w:szCs w:val="24"/>
    </w:rPr>
  </w:style>
  <w:style w:type="paragraph" w:styleId="Funotentext">
    <w:name w:val="footnote text"/>
    <w:basedOn w:val="Standard"/>
    <w:link w:val="FunotentextZchn"/>
    <w:rsid w:val="00701552"/>
  </w:style>
  <w:style w:type="character" w:customStyle="1" w:styleId="FunotentextZchn">
    <w:name w:val="Fußnotentext Zchn"/>
    <w:basedOn w:val="Absatz-Standardschriftart"/>
    <w:link w:val="Funotentext"/>
    <w:rsid w:val="00701552"/>
    <w:rPr>
      <w:noProof w:val="0"/>
    </w:rPr>
  </w:style>
  <w:style w:type="paragraph" w:styleId="Fuzeile">
    <w:name w:val="footer"/>
    <w:basedOn w:val="Standard"/>
    <w:rsid w:val="00701552"/>
    <w:pPr>
      <w:tabs>
        <w:tab w:val="center" w:pos="4536"/>
        <w:tab w:val="right" w:pos="9072"/>
      </w:tabs>
    </w:pPr>
  </w:style>
  <w:style w:type="character" w:customStyle="1" w:styleId="FuzeileZchn">
    <w:name w:val="Fußzeile Zchn"/>
    <w:basedOn w:val="Absatz-Standardschriftart"/>
    <w:rsid w:val="00701552"/>
    <w:rPr>
      <w:noProof w:val="0"/>
      <w:sz w:val="24"/>
      <w:szCs w:val="24"/>
    </w:rPr>
  </w:style>
  <w:style w:type="paragraph" w:styleId="Gruformel">
    <w:name w:val="Closing"/>
    <w:basedOn w:val="Standard"/>
    <w:link w:val="GruformelZchn"/>
    <w:rsid w:val="00701552"/>
    <w:pPr>
      <w:ind w:left="4252"/>
    </w:pPr>
    <w:rPr>
      <w:sz w:val="24"/>
      <w:szCs w:val="24"/>
    </w:rPr>
  </w:style>
  <w:style w:type="character" w:customStyle="1" w:styleId="GruformelZchn">
    <w:name w:val="Grußformel Zchn"/>
    <w:basedOn w:val="Absatz-Standardschriftart"/>
    <w:link w:val="Gruformel"/>
    <w:rsid w:val="00701552"/>
    <w:rPr>
      <w:noProof w:val="0"/>
      <w:sz w:val="24"/>
      <w:szCs w:val="24"/>
    </w:rPr>
  </w:style>
  <w:style w:type="paragraph" w:styleId="HTMLAdresse">
    <w:name w:val="HTML Address"/>
    <w:basedOn w:val="Standard"/>
    <w:link w:val="HTMLAdresseZchn"/>
    <w:rsid w:val="00701552"/>
    <w:rPr>
      <w:i/>
      <w:iCs/>
      <w:sz w:val="24"/>
      <w:szCs w:val="24"/>
    </w:rPr>
  </w:style>
  <w:style w:type="character" w:customStyle="1" w:styleId="HTMLAdresseZchn">
    <w:name w:val="HTML Adresse Zchn"/>
    <w:basedOn w:val="Absatz-Standardschriftart"/>
    <w:link w:val="HTMLAdresse"/>
    <w:rsid w:val="00701552"/>
    <w:rPr>
      <w:i/>
      <w:iCs/>
      <w:noProof w:val="0"/>
      <w:sz w:val="24"/>
      <w:szCs w:val="24"/>
    </w:rPr>
  </w:style>
  <w:style w:type="paragraph" w:styleId="HTMLVorformatiert">
    <w:name w:val="HTML Preformatted"/>
    <w:basedOn w:val="Standard"/>
    <w:link w:val="HTMLVorformatiertZchn"/>
    <w:rsid w:val="00701552"/>
    <w:rPr>
      <w:rFonts w:ascii="Courier New" w:hAnsi="Courier New" w:cs="Courier New"/>
    </w:rPr>
  </w:style>
  <w:style w:type="character" w:customStyle="1" w:styleId="HTMLVorformatiertZchn">
    <w:name w:val="HTML Vorformatiert Zchn"/>
    <w:basedOn w:val="Absatz-Standardschriftart"/>
    <w:link w:val="HTMLVorformatiert"/>
    <w:rsid w:val="00701552"/>
    <w:rPr>
      <w:rFonts w:ascii="Courier New" w:hAnsi="Courier New" w:cs="Courier New"/>
      <w:noProof w:val="0"/>
    </w:rPr>
  </w:style>
  <w:style w:type="paragraph" w:styleId="Index1">
    <w:name w:val="index 1"/>
    <w:basedOn w:val="Standard"/>
    <w:next w:val="Standard"/>
    <w:autoRedefine/>
    <w:rsid w:val="00701552"/>
    <w:pPr>
      <w:ind w:left="200" w:hanging="200"/>
    </w:pPr>
  </w:style>
  <w:style w:type="paragraph" w:styleId="Index2">
    <w:name w:val="index 2"/>
    <w:basedOn w:val="Standard"/>
    <w:next w:val="Standard"/>
    <w:autoRedefine/>
    <w:rsid w:val="00701552"/>
    <w:pPr>
      <w:ind w:left="400" w:hanging="200"/>
    </w:pPr>
  </w:style>
  <w:style w:type="paragraph" w:styleId="Index3">
    <w:name w:val="index 3"/>
    <w:basedOn w:val="Standard"/>
    <w:next w:val="Standard"/>
    <w:autoRedefine/>
    <w:rsid w:val="00701552"/>
    <w:pPr>
      <w:ind w:left="600" w:hanging="200"/>
    </w:pPr>
  </w:style>
  <w:style w:type="paragraph" w:styleId="Index4">
    <w:name w:val="index 4"/>
    <w:basedOn w:val="Standard"/>
    <w:next w:val="Standard"/>
    <w:autoRedefine/>
    <w:rsid w:val="00701552"/>
    <w:pPr>
      <w:ind w:left="800" w:hanging="200"/>
    </w:pPr>
  </w:style>
  <w:style w:type="paragraph" w:styleId="Index5">
    <w:name w:val="index 5"/>
    <w:basedOn w:val="Standard"/>
    <w:next w:val="Standard"/>
    <w:autoRedefine/>
    <w:rsid w:val="00701552"/>
    <w:pPr>
      <w:ind w:left="1000" w:hanging="200"/>
    </w:pPr>
  </w:style>
  <w:style w:type="paragraph" w:styleId="Index6">
    <w:name w:val="index 6"/>
    <w:basedOn w:val="Standard"/>
    <w:next w:val="Standard"/>
    <w:autoRedefine/>
    <w:rsid w:val="00701552"/>
    <w:pPr>
      <w:ind w:left="1200" w:hanging="200"/>
    </w:pPr>
  </w:style>
  <w:style w:type="paragraph" w:styleId="Index7">
    <w:name w:val="index 7"/>
    <w:basedOn w:val="Standard"/>
    <w:next w:val="Standard"/>
    <w:autoRedefine/>
    <w:rsid w:val="00701552"/>
    <w:pPr>
      <w:ind w:left="1400" w:hanging="200"/>
    </w:pPr>
  </w:style>
  <w:style w:type="paragraph" w:styleId="Index8">
    <w:name w:val="index 8"/>
    <w:basedOn w:val="Standard"/>
    <w:next w:val="Standard"/>
    <w:autoRedefine/>
    <w:rsid w:val="00701552"/>
    <w:pPr>
      <w:ind w:left="1600" w:hanging="200"/>
    </w:pPr>
  </w:style>
  <w:style w:type="paragraph" w:styleId="Index9">
    <w:name w:val="index 9"/>
    <w:basedOn w:val="Standard"/>
    <w:next w:val="Standard"/>
    <w:autoRedefine/>
    <w:rsid w:val="00701552"/>
    <w:pPr>
      <w:ind w:left="1800" w:hanging="200"/>
    </w:pPr>
  </w:style>
  <w:style w:type="paragraph" w:styleId="Indexberschrift">
    <w:name w:val="index heading"/>
    <w:basedOn w:val="Standard"/>
    <w:next w:val="Index1"/>
    <w:rsid w:val="00701552"/>
    <w:rPr>
      <w:rFonts w:asciiTheme="majorHAnsi" w:eastAsiaTheme="majorEastAsia" w:hAnsiTheme="majorHAnsi" w:cstheme="majorBidi"/>
      <w:b/>
      <w:bCs/>
    </w:rPr>
  </w:style>
  <w:style w:type="character" w:customStyle="1" w:styleId="berschrift1Zchn">
    <w:name w:val="Überschrift 1 Zchn"/>
    <w:basedOn w:val="Absatz-Standardschriftart"/>
    <w:rsid w:val="00701552"/>
    <w:rPr>
      <w:b/>
      <w:noProof w:val="0"/>
      <w:sz w:val="28"/>
    </w:rPr>
  </w:style>
  <w:style w:type="paragraph" w:styleId="Inhaltsverzeichnisberschrift">
    <w:name w:val="TOC Heading"/>
    <w:basedOn w:val="berschrift1"/>
    <w:next w:val="Standard"/>
    <w:uiPriority w:val="39"/>
    <w:semiHidden/>
    <w:unhideWhenUsed/>
    <w:qFormat/>
    <w:rsid w:val="00701552"/>
    <w:pPr>
      <w:numPr>
        <w:numId w:val="0"/>
      </w:numPr>
      <w:spacing w:before="240" w:after="60"/>
      <w:jc w:val="left"/>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701552"/>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701552"/>
    <w:rPr>
      <w:b/>
      <w:bCs/>
      <w:i/>
      <w:iCs/>
      <w:noProof w:val="0"/>
      <w:color w:val="4F81BD" w:themeColor="accent1"/>
      <w:sz w:val="24"/>
      <w:szCs w:val="24"/>
    </w:rPr>
  </w:style>
  <w:style w:type="paragraph" w:styleId="Kommentartext">
    <w:name w:val="annotation text"/>
    <w:basedOn w:val="Standard"/>
    <w:link w:val="KommentartextZchn"/>
    <w:rsid w:val="00701552"/>
  </w:style>
  <w:style w:type="character" w:customStyle="1" w:styleId="KommentartextZchn">
    <w:name w:val="Kommentartext Zchn"/>
    <w:basedOn w:val="Absatz-Standardschriftart"/>
    <w:link w:val="Kommentartext"/>
    <w:rsid w:val="00701552"/>
    <w:rPr>
      <w:noProof w:val="0"/>
    </w:rPr>
  </w:style>
  <w:style w:type="paragraph" w:styleId="Kommentarthema">
    <w:name w:val="annotation subject"/>
    <w:basedOn w:val="Standard"/>
    <w:next w:val="Kommentartext"/>
    <w:link w:val="KommentarthemaZchn"/>
    <w:rsid w:val="00701552"/>
    <w:rPr>
      <w:b/>
      <w:bCs/>
      <w:sz w:val="24"/>
      <w:szCs w:val="24"/>
    </w:rPr>
  </w:style>
  <w:style w:type="character" w:customStyle="1" w:styleId="KommentarthemaZchn">
    <w:name w:val="Kommentarthema Zchn"/>
    <w:basedOn w:val="KommentartextZchn"/>
    <w:link w:val="Kommentarthema"/>
    <w:rsid w:val="00701552"/>
    <w:rPr>
      <w:b/>
      <w:bCs/>
      <w:noProof w:val="0"/>
      <w:sz w:val="24"/>
      <w:szCs w:val="24"/>
    </w:rPr>
  </w:style>
  <w:style w:type="paragraph" w:styleId="Kopfzeile">
    <w:name w:val="header"/>
    <w:basedOn w:val="Standard"/>
    <w:rsid w:val="00701552"/>
    <w:pPr>
      <w:tabs>
        <w:tab w:val="center" w:pos="4536"/>
        <w:tab w:val="right" w:pos="9072"/>
      </w:tabs>
    </w:pPr>
  </w:style>
  <w:style w:type="character" w:customStyle="1" w:styleId="KopfzeileZchn">
    <w:name w:val="Kopfzeile Zchn"/>
    <w:basedOn w:val="Absatz-Standardschriftart"/>
    <w:rsid w:val="00701552"/>
    <w:rPr>
      <w:noProof w:val="0"/>
      <w:sz w:val="24"/>
      <w:szCs w:val="24"/>
    </w:rPr>
  </w:style>
  <w:style w:type="paragraph" w:styleId="Liste">
    <w:name w:val="List"/>
    <w:basedOn w:val="Standard"/>
    <w:rsid w:val="00701552"/>
    <w:pPr>
      <w:ind w:left="283" w:hanging="283"/>
      <w:contextualSpacing/>
    </w:pPr>
  </w:style>
  <w:style w:type="paragraph" w:styleId="Liste2">
    <w:name w:val="List 2"/>
    <w:basedOn w:val="Standard"/>
    <w:rsid w:val="00701552"/>
    <w:pPr>
      <w:ind w:left="566" w:hanging="283"/>
      <w:contextualSpacing/>
    </w:pPr>
  </w:style>
  <w:style w:type="paragraph" w:styleId="Liste3">
    <w:name w:val="List 3"/>
    <w:basedOn w:val="Standard"/>
    <w:rsid w:val="00701552"/>
    <w:pPr>
      <w:ind w:left="849" w:hanging="283"/>
      <w:contextualSpacing/>
    </w:pPr>
  </w:style>
  <w:style w:type="paragraph" w:styleId="Liste4">
    <w:name w:val="List 4"/>
    <w:basedOn w:val="Standard"/>
    <w:rsid w:val="00701552"/>
    <w:pPr>
      <w:ind w:left="1132" w:hanging="283"/>
      <w:contextualSpacing/>
    </w:pPr>
  </w:style>
  <w:style w:type="paragraph" w:styleId="Liste5">
    <w:name w:val="List 5"/>
    <w:basedOn w:val="Standard"/>
    <w:rsid w:val="00701552"/>
    <w:pPr>
      <w:ind w:left="1415" w:hanging="283"/>
      <w:contextualSpacing/>
    </w:pPr>
  </w:style>
  <w:style w:type="paragraph" w:styleId="Listenabsatz">
    <w:name w:val="List Paragraph"/>
    <w:basedOn w:val="Standard"/>
    <w:uiPriority w:val="34"/>
    <w:qFormat/>
    <w:rsid w:val="00701552"/>
    <w:pPr>
      <w:ind w:left="708"/>
    </w:pPr>
  </w:style>
  <w:style w:type="paragraph" w:styleId="Listenfortsetzung">
    <w:name w:val="List Continue"/>
    <w:basedOn w:val="Standard"/>
    <w:rsid w:val="00701552"/>
    <w:pPr>
      <w:spacing w:after="120"/>
      <w:ind w:left="283"/>
      <w:contextualSpacing/>
    </w:pPr>
  </w:style>
  <w:style w:type="paragraph" w:styleId="Listenfortsetzung2">
    <w:name w:val="List Continue 2"/>
    <w:basedOn w:val="Standard"/>
    <w:rsid w:val="00701552"/>
    <w:pPr>
      <w:spacing w:after="120"/>
      <w:ind w:left="566"/>
      <w:contextualSpacing/>
    </w:pPr>
  </w:style>
  <w:style w:type="paragraph" w:styleId="Listenfortsetzung3">
    <w:name w:val="List Continue 3"/>
    <w:basedOn w:val="Standard"/>
    <w:rsid w:val="00701552"/>
    <w:pPr>
      <w:spacing w:after="120"/>
      <w:ind w:left="849"/>
      <w:contextualSpacing/>
    </w:pPr>
  </w:style>
  <w:style w:type="paragraph" w:styleId="Listenfortsetzung4">
    <w:name w:val="List Continue 4"/>
    <w:basedOn w:val="Standard"/>
    <w:rsid w:val="00701552"/>
    <w:pPr>
      <w:spacing w:after="120"/>
      <w:ind w:left="1132"/>
      <w:contextualSpacing/>
    </w:pPr>
  </w:style>
  <w:style w:type="paragraph" w:styleId="Listenfortsetzung5">
    <w:name w:val="List Continue 5"/>
    <w:basedOn w:val="Standard"/>
    <w:rsid w:val="00701552"/>
    <w:pPr>
      <w:spacing w:after="120"/>
      <w:ind w:left="1415"/>
      <w:contextualSpacing/>
    </w:pPr>
  </w:style>
  <w:style w:type="paragraph" w:styleId="Listennummer">
    <w:name w:val="List Number"/>
    <w:basedOn w:val="Standard"/>
    <w:rsid w:val="00701552"/>
    <w:pPr>
      <w:numPr>
        <w:numId w:val="14"/>
      </w:numPr>
      <w:ind w:left="360" w:hanging="360"/>
      <w:contextualSpacing/>
    </w:pPr>
  </w:style>
  <w:style w:type="paragraph" w:styleId="Listennummer2">
    <w:name w:val="List Number 2"/>
    <w:basedOn w:val="Standard"/>
    <w:rsid w:val="00701552"/>
    <w:pPr>
      <w:numPr>
        <w:numId w:val="15"/>
      </w:numPr>
      <w:tabs>
        <w:tab w:val="clear" w:pos="360"/>
        <w:tab w:val="num" w:pos="643"/>
      </w:tabs>
      <w:ind w:left="643" w:hanging="360"/>
      <w:contextualSpacing/>
    </w:pPr>
  </w:style>
  <w:style w:type="paragraph" w:styleId="Listennummer3">
    <w:name w:val="List Number 3"/>
    <w:basedOn w:val="Standard"/>
    <w:rsid w:val="00701552"/>
    <w:pPr>
      <w:numPr>
        <w:numId w:val="16"/>
      </w:numPr>
      <w:tabs>
        <w:tab w:val="clear" w:pos="360"/>
        <w:tab w:val="num" w:pos="926"/>
      </w:tabs>
      <w:ind w:left="926" w:hanging="360"/>
      <w:contextualSpacing/>
    </w:pPr>
  </w:style>
  <w:style w:type="paragraph" w:styleId="Listennummer4">
    <w:name w:val="List Number 4"/>
    <w:basedOn w:val="Standard"/>
    <w:rsid w:val="00701552"/>
    <w:pPr>
      <w:numPr>
        <w:numId w:val="17"/>
      </w:numPr>
      <w:tabs>
        <w:tab w:val="clear" w:pos="360"/>
        <w:tab w:val="num" w:pos="1209"/>
      </w:tabs>
      <w:ind w:left="1209" w:hanging="360"/>
      <w:contextualSpacing/>
    </w:pPr>
  </w:style>
  <w:style w:type="paragraph" w:styleId="Listennummer5">
    <w:name w:val="List Number 5"/>
    <w:basedOn w:val="Standard"/>
    <w:rsid w:val="00701552"/>
    <w:pPr>
      <w:numPr>
        <w:numId w:val="18"/>
      </w:numPr>
      <w:tabs>
        <w:tab w:val="clear" w:pos="360"/>
        <w:tab w:val="num" w:pos="1492"/>
      </w:tabs>
      <w:ind w:left="1492" w:hanging="360"/>
      <w:contextualSpacing/>
    </w:pPr>
  </w:style>
  <w:style w:type="paragraph" w:styleId="Literaturverzeichnis">
    <w:name w:val="Bibliography"/>
    <w:basedOn w:val="Standard"/>
    <w:next w:val="Standard"/>
    <w:uiPriority w:val="37"/>
    <w:semiHidden/>
    <w:unhideWhenUsed/>
    <w:rsid w:val="00701552"/>
  </w:style>
  <w:style w:type="paragraph" w:styleId="Nachrichtenkopf">
    <w:name w:val="Message Header"/>
    <w:basedOn w:val="Standard"/>
    <w:link w:val="NachrichtenkopfZchn"/>
    <w:rsid w:val="0070155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701552"/>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701552"/>
    <w:rPr>
      <w:rFonts w:ascii="Courier New" w:hAnsi="Courier New" w:cs="Courier New"/>
    </w:rPr>
  </w:style>
  <w:style w:type="character" w:customStyle="1" w:styleId="NurTextZchn">
    <w:name w:val="Nur Text Zchn"/>
    <w:basedOn w:val="Absatz-Standardschriftart"/>
    <w:link w:val="NurText"/>
    <w:rsid w:val="00701552"/>
    <w:rPr>
      <w:rFonts w:ascii="Courier New" w:hAnsi="Courier New" w:cs="Courier New"/>
      <w:noProof w:val="0"/>
    </w:rPr>
  </w:style>
  <w:style w:type="paragraph" w:styleId="Rechtsgrundlagenverzeichnis">
    <w:name w:val="table of authorities"/>
    <w:basedOn w:val="Standard"/>
    <w:next w:val="Standard"/>
    <w:rsid w:val="00701552"/>
    <w:pPr>
      <w:ind w:left="200" w:hanging="200"/>
    </w:pPr>
  </w:style>
  <w:style w:type="paragraph" w:styleId="RGV-berschrift">
    <w:name w:val="toa heading"/>
    <w:basedOn w:val="Standard"/>
    <w:next w:val="Standard"/>
    <w:rsid w:val="00701552"/>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701552"/>
    <w:rPr>
      <w:noProof w:val="0"/>
    </w:rPr>
  </w:style>
  <w:style w:type="paragraph" w:styleId="Sprechblasentext">
    <w:name w:val="Balloon Text"/>
    <w:basedOn w:val="Standard"/>
    <w:link w:val="SprechblasentextZchn"/>
    <w:rsid w:val="00701552"/>
    <w:rPr>
      <w:rFonts w:ascii="Tahoma" w:hAnsi="Tahoma" w:cs="Tahoma"/>
      <w:sz w:val="16"/>
      <w:szCs w:val="16"/>
    </w:rPr>
  </w:style>
  <w:style w:type="character" w:customStyle="1" w:styleId="SprechblasentextZchn">
    <w:name w:val="Sprechblasentext Zchn"/>
    <w:basedOn w:val="Absatz-Standardschriftart"/>
    <w:link w:val="Sprechblasentext"/>
    <w:rsid w:val="00701552"/>
    <w:rPr>
      <w:rFonts w:ascii="Tahoma" w:hAnsi="Tahoma" w:cs="Tahoma"/>
      <w:noProof w:val="0"/>
      <w:sz w:val="16"/>
      <w:szCs w:val="16"/>
    </w:rPr>
  </w:style>
  <w:style w:type="paragraph" w:styleId="StandardWeb">
    <w:name w:val="Normal (Web)"/>
    <w:basedOn w:val="Standard"/>
    <w:rsid w:val="00701552"/>
    <w:rPr>
      <w:sz w:val="24"/>
      <w:szCs w:val="24"/>
    </w:rPr>
  </w:style>
  <w:style w:type="paragraph" w:styleId="Standardeinzug">
    <w:name w:val="Normal Indent"/>
    <w:basedOn w:val="Standard"/>
    <w:rsid w:val="00701552"/>
    <w:pPr>
      <w:ind w:left="708"/>
    </w:pPr>
  </w:style>
  <w:style w:type="table" w:styleId="Tabellenraster">
    <w:name w:val="Table Grid"/>
    <w:basedOn w:val="NormaleTabelle"/>
    <w:rsid w:val="00701552"/>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701552"/>
    <w:pPr>
      <w:spacing w:after="120"/>
    </w:pPr>
    <w:rPr>
      <w:sz w:val="24"/>
      <w:szCs w:val="24"/>
    </w:rPr>
  </w:style>
  <w:style w:type="character" w:customStyle="1" w:styleId="TextkrperZchn">
    <w:name w:val="Textkörper Zchn"/>
    <w:basedOn w:val="Absatz-Standardschriftart"/>
    <w:link w:val="Textkrper"/>
    <w:rsid w:val="00701552"/>
    <w:rPr>
      <w:noProof w:val="0"/>
      <w:sz w:val="24"/>
      <w:szCs w:val="24"/>
    </w:rPr>
  </w:style>
  <w:style w:type="paragraph" w:styleId="Textkrper2">
    <w:name w:val="Body Text 2"/>
    <w:basedOn w:val="Standard"/>
    <w:link w:val="Textkrper2Zchn"/>
    <w:rsid w:val="00701552"/>
    <w:pPr>
      <w:spacing w:after="120" w:line="480" w:lineRule="auto"/>
    </w:pPr>
    <w:rPr>
      <w:sz w:val="24"/>
      <w:szCs w:val="24"/>
    </w:rPr>
  </w:style>
  <w:style w:type="character" w:customStyle="1" w:styleId="Textkrper2Zchn">
    <w:name w:val="Textkörper 2 Zchn"/>
    <w:basedOn w:val="Absatz-Standardschriftart"/>
    <w:link w:val="Textkrper2"/>
    <w:rsid w:val="00701552"/>
    <w:rPr>
      <w:noProof w:val="0"/>
      <w:sz w:val="24"/>
      <w:szCs w:val="24"/>
    </w:rPr>
  </w:style>
  <w:style w:type="paragraph" w:styleId="Textkrper3">
    <w:name w:val="Body Text 3"/>
    <w:basedOn w:val="Standard"/>
    <w:link w:val="Textkrper3Zchn"/>
    <w:rsid w:val="00701552"/>
    <w:pPr>
      <w:spacing w:after="120"/>
    </w:pPr>
    <w:rPr>
      <w:sz w:val="16"/>
      <w:szCs w:val="16"/>
    </w:rPr>
  </w:style>
  <w:style w:type="character" w:customStyle="1" w:styleId="Textkrper3Zchn">
    <w:name w:val="Textkörper 3 Zchn"/>
    <w:basedOn w:val="Absatz-Standardschriftart"/>
    <w:link w:val="Textkrper3"/>
    <w:rsid w:val="00701552"/>
    <w:rPr>
      <w:noProof w:val="0"/>
      <w:sz w:val="16"/>
      <w:szCs w:val="16"/>
    </w:rPr>
  </w:style>
  <w:style w:type="paragraph" w:styleId="Textkrper-Einzug2">
    <w:name w:val="Body Text Indent 2"/>
    <w:basedOn w:val="Standard"/>
    <w:link w:val="Textkrper-Einzug2Zchn"/>
    <w:rsid w:val="00701552"/>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701552"/>
    <w:rPr>
      <w:noProof w:val="0"/>
      <w:sz w:val="24"/>
      <w:szCs w:val="24"/>
    </w:rPr>
  </w:style>
  <w:style w:type="paragraph" w:styleId="Textkrper-Einzug3">
    <w:name w:val="Body Text Indent 3"/>
    <w:basedOn w:val="Standard"/>
    <w:link w:val="Textkrper-Einzug3Zchn"/>
    <w:rsid w:val="00701552"/>
    <w:pPr>
      <w:spacing w:after="120"/>
      <w:ind w:left="283"/>
    </w:pPr>
    <w:rPr>
      <w:sz w:val="16"/>
      <w:szCs w:val="16"/>
    </w:rPr>
  </w:style>
  <w:style w:type="character" w:customStyle="1" w:styleId="Textkrper-Einzug3Zchn">
    <w:name w:val="Textkörper-Einzug 3 Zchn"/>
    <w:basedOn w:val="Absatz-Standardschriftart"/>
    <w:link w:val="Textkrper-Einzug3"/>
    <w:rsid w:val="00701552"/>
    <w:rPr>
      <w:noProof w:val="0"/>
      <w:sz w:val="16"/>
      <w:szCs w:val="16"/>
    </w:rPr>
  </w:style>
  <w:style w:type="paragraph" w:styleId="Textkrper-Erstzeileneinzug">
    <w:name w:val="Body Text First Indent"/>
    <w:basedOn w:val="Standard"/>
    <w:link w:val="Textkrper-ErstzeileneinzugZchn"/>
    <w:rsid w:val="00701552"/>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701552"/>
    <w:rPr>
      <w:noProof w:val="0"/>
      <w:sz w:val="24"/>
      <w:szCs w:val="24"/>
    </w:rPr>
  </w:style>
  <w:style w:type="paragraph" w:styleId="Textkrper-Zeileneinzug">
    <w:name w:val="Body Text Indent"/>
    <w:basedOn w:val="Standard"/>
    <w:link w:val="Textkrper-ZeileneinzugZchn"/>
    <w:rsid w:val="00701552"/>
    <w:pPr>
      <w:spacing w:after="120"/>
      <w:ind w:left="283"/>
    </w:pPr>
    <w:rPr>
      <w:sz w:val="24"/>
      <w:szCs w:val="24"/>
    </w:rPr>
  </w:style>
  <w:style w:type="character" w:customStyle="1" w:styleId="Textkrper-ZeileneinzugZchn">
    <w:name w:val="Textkörper-Zeileneinzug Zchn"/>
    <w:basedOn w:val="Absatz-Standardschriftart"/>
    <w:link w:val="Textkrper-Zeileneinzug"/>
    <w:rsid w:val="00701552"/>
    <w:rPr>
      <w:noProof w:val="0"/>
      <w:sz w:val="24"/>
      <w:szCs w:val="24"/>
    </w:rPr>
  </w:style>
  <w:style w:type="paragraph" w:styleId="Textkrper-Erstzeileneinzug2">
    <w:name w:val="Body Text First Indent 2"/>
    <w:basedOn w:val="Standard"/>
    <w:link w:val="Textkrper-Erstzeileneinzug2Zchn"/>
    <w:rsid w:val="00701552"/>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701552"/>
    <w:rPr>
      <w:noProof w:val="0"/>
      <w:sz w:val="24"/>
      <w:szCs w:val="24"/>
    </w:rPr>
  </w:style>
  <w:style w:type="paragraph" w:styleId="Titel">
    <w:name w:val="Title"/>
    <w:basedOn w:val="Standard"/>
    <w:next w:val="Standard"/>
    <w:link w:val="TitelZchn"/>
    <w:qFormat/>
    <w:rsid w:val="00701552"/>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701552"/>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701552"/>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701552"/>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701552"/>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701552"/>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701552"/>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701552"/>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701552"/>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701552"/>
    <w:rPr>
      <w:rFonts w:asciiTheme="majorHAnsi" w:eastAsiaTheme="majorEastAsia" w:hAnsiTheme="majorHAnsi" w:cstheme="majorBidi"/>
      <w:noProof w:val="0"/>
      <w:sz w:val="22"/>
      <w:szCs w:val="22"/>
    </w:rPr>
  </w:style>
  <w:style w:type="paragraph" w:styleId="Umschlagabsenderadresse">
    <w:name w:val="envelope return"/>
    <w:basedOn w:val="Standard"/>
    <w:rsid w:val="00701552"/>
    <w:rPr>
      <w:rFonts w:asciiTheme="majorHAnsi" w:eastAsiaTheme="majorEastAsia" w:hAnsiTheme="majorHAnsi" w:cstheme="majorBidi"/>
    </w:rPr>
  </w:style>
  <w:style w:type="paragraph" w:styleId="Umschlagadresse">
    <w:name w:val="envelope address"/>
    <w:basedOn w:val="Standard"/>
    <w:rsid w:val="00701552"/>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701552"/>
    <w:pPr>
      <w:ind w:left="4252"/>
    </w:pPr>
    <w:rPr>
      <w:sz w:val="24"/>
      <w:szCs w:val="24"/>
    </w:rPr>
  </w:style>
  <w:style w:type="character" w:customStyle="1" w:styleId="UnterschriftZchn">
    <w:name w:val="Unterschrift Zchn"/>
    <w:basedOn w:val="Absatz-Standardschriftart"/>
    <w:link w:val="Unterschrift"/>
    <w:rsid w:val="00701552"/>
    <w:rPr>
      <w:noProof w:val="0"/>
      <w:sz w:val="24"/>
      <w:szCs w:val="24"/>
    </w:rPr>
  </w:style>
  <w:style w:type="paragraph" w:styleId="Untertitel">
    <w:name w:val="Subtitle"/>
    <w:basedOn w:val="Standard"/>
    <w:next w:val="Standard"/>
    <w:link w:val="UntertitelZchn"/>
    <w:qFormat/>
    <w:rsid w:val="00701552"/>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701552"/>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701552"/>
  </w:style>
  <w:style w:type="paragraph" w:styleId="Verzeichnis2">
    <w:name w:val="toc 2"/>
    <w:basedOn w:val="Standard"/>
    <w:next w:val="Standard"/>
    <w:autoRedefine/>
    <w:rsid w:val="00701552"/>
    <w:pPr>
      <w:ind w:left="200"/>
    </w:pPr>
  </w:style>
  <w:style w:type="paragraph" w:styleId="Verzeichnis3">
    <w:name w:val="toc 3"/>
    <w:basedOn w:val="Standard"/>
    <w:next w:val="Standard"/>
    <w:autoRedefine/>
    <w:rsid w:val="00701552"/>
    <w:pPr>
      <w:ind w:left="400"/>
    </w:pPr>
  </w:style>
  <w:style w:type="paragraph" w:styleId="Verzeichnis4">
    <w:name w:val="toc 4"/>
    <w:basedOn w:val="Standard"/>
    <w:next w:val="Standard"/>
    <w:autoRedefine/>
    <w:rsid w:val="00701552"/>
    <w:pPr>
      <w:ind w:left="600"/>
    </w:pPr>
  </w:style>
  <w:style w:type="paragraph" w:styleId="Verzeichnis5">
    <w:name w:val="toc 5"/>
    <w:basedOn w:val="Standard"/>
    <w:next w:val="Standard"/>
    <w:autoRedefine/>
    <w:rsid w:val="00701552"/>
    <w:pPr>
      <w:ind w:left="800"/>
    </w:pPr>
  </w:style>
  <w:style w:type="paragraph" w:styleId="Verzeichnis6">
    <w:name w:val="toc 6"/>
    <w:basedOn w:val="Standard"/>
    <w:next w:val="Standard"/>
    <w:autoRedefine/>
    <w:rsid w:val="00701552"/>
    <w:pPr>
      <w:ind w:left="1000"/>
    </w:pPr>
  </w:style>
  <w:style w:type="paragraph" w:styleId="Verzeichnis7">
    <w:name w:val="toc 7"/>
    <w:basedOn w:val="Standard"/>
    <w:next w:val="Standard"/>
    <w:autoRedefine/>
    <w:rsid w:val="00701552"/>
    <w:pPr>
      <w:ind w:left="1200"/>
    </w:pPr>
  </w:style>
  <w:style w:type="paragraph" w:styleId="Verzeichnis8">
    <w:name w:val="toc 8"/>
    <w:basedOn w:val="Standard"/>
    <w:next w:val="Standard"/>
    <w:autoRedefine/>
    <w:rsid w:val="00701552"/>
    <w:pPr>
      <w:ind w:left="1400"/>
    </w:pPr>
  </w:style>
  <w:style w:type="paragraph" w:styleId="Verzeichnis9">
    <w:name w:val="toc 9"/>
    <w:basedOn w:val="Standard"/>
    <w:next w:val="Standard"/>
    <w:autoRedefine/>
    <w:rsid w:val="00701552"/>
    <w:pPr>
      <w:ind w:left="1600"/>
    </w:pPr>
  </w:style>
  <w:style w:type="paragraph" w:styleId="Zitat">
    <w:name w:val="Quote"/>
    <w:basedOn w:val="Standard"/>
    <w:next w:val="Standard"/>
    <w:link w:val="ZitatZchn"/>
    <w:uiPriority w:val="29"/>
    <w:qFormat/>
    <w:rsid w:val="00701552"/>
    <w:rPr>
      <w:i/>
      <w:iCs/>
      <w:color w:val="000000" w:themeColor="text1"/>
      <w:sz w:val="24"/>
      <w:szCs w:val="24"/>
    </w:rPr>
  </w:style>
  <w:style w:type="character" w:customStyle="1" w:styleId="ZitatZchn">
    <w:name w:val="Zitat Zchn"/>
    <w:basedOn w:val="Absatz-Standardschriftart"/>
    <w:link w:val="Zitat"/>
    <w:uiPriority w:val="29"/>
    <w:rsid w:val="00701552"/>
    <w:rPr>
      <w:i/>
      <w:iCs/>
      <w:noProof w:val="0"/>
      <w:color w:val="000000" w:themeColor="text1"/>
      <w:sz w:val="24"/>
      <w:szCs w:val="24"/>
    </w:rPr>
  </w:style>
  <w:style w:type="numbering" w:styleId="111111">
    <w:name w:val="Outline List 2"/>
    <w:basedOn w:val="KeineListe"/>
    <w:rsid w:val="00701552"/>
    <w:pPr>
      <w:numPr>
        <w:numId w:val="11"/>
      </w:numPr>
    </w:pPr>
  </w:style>
  <w:style w:type="numbering" w:styleId="1ai">
    <w:name w:val="Outline List 1"/>
    <w:basedOn w:val="KeineListe"/>
    <w:rsid w:val="00701552"/>
    <w:pPr>
      <w:numPr>
        <w:numId w:val="12"/>
      </w:numPr>
    </w:pPr>
  </w:style>
  <w:style w:type="numbering" w:styleId="ArtikelAbschnitt">
    <w:name w:val="Outline List 3"/>
    <w:basedOn w:val="KeineListe"/>
    <w:rsid w:val="00701552"/>
    <w:pPr>
      <w:numPr>
        <w:numId w:val="13"/>
      </w:numPr>
    </w:pPr>
  </w:style>
  <w:style w:type="character" w:styleId="BesuchterHyperlink">
    <w:name w:val="FollowedHyperlink"/>
    <w:basedOn w:val="Absatz-Standardschriftart"/>
    <w:rsid w:val="00701552"/>
    <w:rPr>
      <w:noProof w:val="0"/>
      <w:color w:val="800080" w:themeColor="followedHyperlink"/>
      <w:u w:val="single"/>
    </w:rPr>
  </w:style>
  <w:style w:type="character" w:styleId="Buchtitel">
    <w:name w:val="Book Title"/>
    <w:basedOn w:val="Absatz-Standardschriftart"/>
    <w:uiPriority w:val="33"/>
    <w:qFormat/>
    <w:rsid w:val="00701552"/>
    <w:rPr>
      <w:b/>
      <w:bCs/>
      <w:smallCaps/>
      <w:noProof w:val="0"/>
      <w:spacing w:val="5"/>
    </w:rPr>
  </w:style>
  <w:style w:type="table" w:styleId="DunkleListe">
    <w:name w:val="Dark List"/>
    <w:basedOn w:val="NormaleTabelle"/>
    <w:uiPriority w:val="70"/>
    <w:rsid w:val="00701552"/>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701552"/>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701552"/>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701552"/>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701552"/>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701552"/>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701552"/>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701552"/>
    <w:rPr>
      <w:noProof w:val="0"/>
      <w:vertAlign w:val="superscript"/>
    </w:rPr>
  </w:style>
  <w:style w:type="table" w:styleId="FarbigeListe">
    <w:name w:val="Colorful List"/>
    <w:basedOn w:val="NormaleTabelle"/>
    <w:uiPriority w:val="72"/>
    <w:rsid w:val="00701552"/>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701552"/>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701552"/>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701552"/>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701552"/>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701552"/>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701552"/>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701552"/>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701552"/>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701552"/>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701552"/>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701552"/>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701552"/>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701552"/>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701552"/>
    <w:rPr>
      <w:b/>
      <w:bCs/>
      <w:noProof w:val="0"/>
    </w:rPr>
  </w:style>
  <w:style w:type="character" w:styleId="Funotenzeichen">
    <w:name w:val="footnote reference"/>
    <w:basedOn w:val="Absatz-Standardschriftart"/>
    <w:rsid w:val="00701552"/>
    <w:rPr>
      <w:noProof w:val="0"/>
      <w:vertAlign w:val="superscript"/>
    </w:rPr>
  </w:style>
  <w:style w:type="table" w:styleId="HelleListe">
    <w:name w:val="Light List"/>
    <w:basedOn w:val="NormaleTabelle"/>
    <w:uiPriority w:val="61"/>
    <w:rsid w:val="0070155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701552"/>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701552"/>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701552"/>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701552"/>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701552"/>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701552"/>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70155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701552"/>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701552"/>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70155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701552"/>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701552"/>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701552"/>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70155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701552"/>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701552"/>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701552"/>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701552"/>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701552"/>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701552"/>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701552"/>
    <w:rPr>
      <w:i/>
      <w:iCs/>
      <w:noProof w:val="0"/>
    </w:rPr>
  </w:style>
  <w:style w:type="character" w:styleId="HTMLAkronym">
    <w:name w:val="HTML Acronym"/>
    <w:basedOn w:val="Absatz-Standardschriftart"/>
    <w:rsid w:val="00701552"/>
    <w:rPr>
      <w:noProof w:val="0"/>
    </w:rPr>
  </w:style>
  <w:style w:type="character" w:styleId="HTMLBeispiel">
    <w:name w:val="HTML Sample"/>
    <w:basedOn w:val="Absatz-Standardschriftart"/>
    <w:rsid w:val="00701552"/>
    <w:rPr>
      <w:rFonts w:ascii="Courier New" w:hAnsi="Courier New" w:cs="Courier New"/>
      <w:noProof w:val="0"/>
      <w:sz w:val="20"/>
      <w:szCs w:val="20"/>
    </w:rPr>
  </w:style>
  <w:style w:type="character" w:styleId="HTMLCode">
    <w:name w:val="HTML Code"/>
    <w:basedOn w:val="Absatz-Standardschriftart"/>
    <w:rsid w:val="00701552"/>
    <w:rPr>
      <w:rFonts w:ascii="Courier New" w:hAnsi="Courier New" w:cs="Courier New"/>
      <w:noProof w:val="0"/>
      <w:sz w:val="20"/>
      <w:szCs w:val="20"/>
    </w:rPr>
  </w:style>
  <w:style w:type="character" w:styleId="HTMLDefinition">
    <w:name w:val="HTML Definition"/>
    <w:basedOn w:val="Absatz-Standardschriftart"/>
    <w:rsid w:val="00701552"/>
    <w:rPr>
      <w:i/>
      <w:iCs/>
      <w:noProof w:val="0"/>
    </w:rPr>
  </w:style>
  <w:style w:type="character" w:styleId="HTMLSchreibmaschine">
    <w:name w:val="HTML Typewriter"/>
    <w:basedOn w:val="Absatz-Standardschriftart"/>
    <w:rsid w:val="00701552"/>
    <w:rPr>
      <w:rFonts w:ascii="Courier New" w:hAnsi="Courier New" w:cs="Courier New"/>
      <w:noProof w:val="0"/>
      <w:sz w:val="20"/>
      <w:szCs w:val="20"/>
    </w:rPr>
  </w:style>
  <w:style w:type="character" w:styleId="HTMLTastatur">
    <w:name w:val="HTML Keyboard"/>
    <w:basedOn w:val="Absatz-Standardschriftart"/>
    <w:rsid w:val="00701552"/>
    <w:rPr>
      <w:rFonts w:ascii="Courier New" w:hAnsi="Courier New" w:cs="Courier New"/>
      <w:noProof w:val="0"/>
      <w:sz w:val="20"/>
      <w:szCs w:val="20"/>
    </w:rPr>
  </w:style>
  <w:style w:type="character" w:styleId="HTMLVariable">
    <w:name w:val="HTML Variable"/>
    <w:basedOn w:val="Absatz-Standardschriftart"/>
    <w:rsid w:val="00701552"/>
    <w:rPr>
      <w:i/>
      <w:iCs/>
      <w:noProof w:val="0"/>
    </w:rPr>
  </w:style>
  <w:style w:type="character" w:styleId="HTMLZitat">
    <w:name w:val="HTML Cite"/>
    <w:basedOn w:val="Absatz-Standardschriftart"/>
    <w:rsid w:val="00701552"/>
    <w:rPr>
      <w:i/>
      <w:iCs/>
      <w:noProof w:val="0"/>
    </w:rPr>
  </w:style>
  <w:style w:type="character" w:styleId="Hyperlink">
    <w:name w:val="Hyperlink"/>
    <w:basedOn w:val="Absatz-Standardschriftart"/>
    <w:rsid w:val="00701552"/>
    <w:rPr>
      <w:noProof w:val="0"/>
      <w:color w:val="0000FF" w:themeColor="hyperlink"/>
      <w:u w:val="single"/>
    </w:rPr>
  </w:style>
  <w:style w:type="character" w:styleId="IntensiveHervorhebung">
    <w:name w:val="Intense Emphasis"/>
    <w:basedOn w:val="Absatz-Standardschriftart"/>
    <w:uiPriority w:val="21"/>
    <w:qFormat/>
    <w:rsid w:val="00701552"/>
    <w:rPr>
      <w:b/>
      <w:bCs/>
      <w:i/>
      <w:iCs/>
      <w:noProof w:val="0"/>
      <w:color w:val="4F81BD" w:themeColor="accent1"/>
    </w:rPr>
  </w:style>
  <w:style w:type="character" w:styleId="IntensiverVerweis">
    <w:name w:val="Intense Reference"/>
    <w:basedOn w:val="Absatz-Standardschriftart"/>
    <w:uiPriority w:val="32"/>
    <w:qFormat/>
    <w:rsid w:val="00701552"/>
    <w:rPr>
      <w:b/>
      <w:bCs/>
      <w:smallCaps/>
      <w:noProof w:val="0"/>
      <w:color w:val="C0504D" w:themeColor="accent2"/>
      <w:spacing w:val="5"/>
      <w:u w:val="single"/>
    </w:rPr>
  </w:style>
  <w:style w:type="paragraph" w:styleId="KeinLeerraum">
    <w:name w:val="No Spacing"/>
    <w:uiPriority w:val="1"/>
    <w:qFormat/>
    <w:rsid w:val="00701552"/>
    <w:pPr>
      <w:overflowPunct w:val="0"/>
      <w:autoSpaceDE w:val="0"/>
      <w:autoSpaceDN w:val="0"/>
      <w:adjustRightInd w:val="0"/>
      <w:textAlignment w:val="baseline"/>
    </w:pPr>
  </w:style>
  <w:style w:type="character" w:styleId="Kommentarzeichen">
    <w:name w:val="annotation reference"/>
    <w:basedOn w:val="Absatz-Standardschriftart"/>
    <w:rsid w:val="00701552"/>
    <w:rPr>
      <w:noProof w:val="0"/>
      <w:sz w:val="16"/>
      <w:szCs w:val="16"/>
    </w:rPr>
  </w:style>
  <w:style w:type="paragraph" w:styleId="Makrotext">
    <w:name w:val="macro"/>
    <w:link w:val="MakrotextZchn"/>
    <w:rsid w:val="00701552"/>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701552"/>
    <w:rPr>
      <w:rFonts w:ascii="Courier New" w:hAnsi="Courier New" w:cs="Courier New"/>
      <w:noProof w:val="0"/>
    </w:rPr>
  </w:style>
  <w:style w:type="table" w:styleId="MittlereListe1">
    <w:name w:val="Medium List 1"/>
    <w:basedOn w:val="NormaleTabelle"/>
    <w:uiPriority w:val="65"/>
    <w:rsid w:val="0070155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701552"/>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701552"/>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701552"/>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701552"/>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701552"/>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701552"/>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70155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70155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701552"/>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701552"/>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701552"/>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70155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701552"/>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70155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70155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701552"/>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701552"/>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701552"/>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70155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701552"/>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701552"/>
    <w:rPr>
      <w:noProof w:val="0"/>
      <w:color w:val="808080"/>
    </w:rPr>
  </w:style>
  <w:style w:type="character" w:styleId="SchwacheHervorhebung">
    <w:name w:val="Subtle Emphasis"/>
    <w:basedOn w:val="Absatz-Standardschriftart"/>
    <w:uiPriority w:val="19"/>
    <w:qFormat/>
    <w:rsid w:val="00701552"/>
    <w:rPr>
      <w:i/>
      <w:iCs/>
      <w:noProof w:val="0"/>
      <w:color w:val="808080" w:themeColor="text1" w:themeTint="7F"/>
    </w:rPr>
  </w:style>
  <w:style w:type="character" w:styleId="SchwacherVerweis">
    <w:name w:val="Subtle Reference"/>
    <w:basedOn w:val="Absatz-Standardschriftart"/>
    <w:uiPriority w:val="31"/>
    <w:qFormat/>
    <w:rsid w:val="00701552"/>
    <w:rPr>
      <w:smallCaps/>
      <w:noProof w:val="0"/>
      <w:color w:val="C0504D" w:themeColor="accent2"/>
      <w:u w:val="single"/>
    </w:rPr>
  </w:style>
  <w:style w:type="table" w:styleId="Tabelle3D-Effekt1">
    <w:name w:val="Table 3D effects 1"/>
    <w:basedOn w:val="NormaleTabelle"/>
    <w:rsid w:val="00701552"/>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701552"/>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701552"/>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701552"/>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701552"/>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701552"/>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701552"/>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701552"/>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701552"/>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701552"/>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701552"/>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701552"/>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701552"/>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701552"/>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701552"/>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701552"/>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701552"/>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701552"/>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701552"/>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701552"/>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701552"/>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701552"/>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701552"/>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701552"/>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701552"/>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701552"/>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701552"/>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701552"/>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701552"/>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701552"/>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701552"/>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701552"/>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701552"/>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701552"/>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701552"/>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701552"/>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701552"/>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701552"/>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701552"/>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701552"/>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701552"/>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701552"/>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701552"/>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701552"/>
    <w:rPr>
      <w:noProof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701552"/>
    <w:pPr>
      <w:keepNext/>
      <w:numPr>
        <w:numId w:val="8"/>
      </w:numPr>
      <w:tabs>
        <w:tab w:val="clear" w:pos="926"/>
      </w:tabs>
      <w:ind w:left="0" w:firstLine="0"/>
      <w:jc w:val="center"/>
      <w:outlineLvl w:val="0"/>
    </w:pPr>
    <w:rPr>
      <w:b/>
      <w:sz w:val="28"/>
    </w:rPr>
  </w:style>
  <w:style w:type="paragraph" w:styleId="berschrift2">
    <w:name w:val="heading 2"/>
    <w:basedOn w:val="Standard"/>
    <w:next w:val="Standard"/>
    <w:link w:val="berschrift2Zchn"/>
    <w:semiHidden/>
    <w:unhideWhenUsed/>
    <w:qFormat/>
    <w:rsid w:val="00701552"/>
    <w:pPr>
      <w:keepNext/>
      <w:numPr>
        <w:ilvl w:val="1"/>
        <w:numId w:val="8"/>
      </w:numPr>
      <w:tabs>
        <w:tab w:val="clear" w:pos="926"/>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701552"/>
    <w:pPr>
      <w:keepNext/>
      <w:numPr>
        <w:ilvl w:val="2"/>
        <w:numId w:val="8"/>
      </w:numPr>
      <w:tabs>
        <w:tab w:val="clear" w:pos="926"/>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701552"/>
    <w:pPr>
      <w:keepNext/>
      <w:numPr>
        <w:ilvl w:val="3"/>
        <w:numId w:val="8"/>
      </w:numPr>
      <w:tabs>
        <w:tab w:val="clear" w:pos="926"/>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701552"/>
    <w:pPr>
      <w:numPr>
        <w:ilvl w:val="4"/>
        <w:numId w:val="8"/>
      </w:numPr>
      <w:tabs>
        <w:tab w:val="clear" w:pos="926"/>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701552"/>
    <w:pPr>
      <w:numPr>
        <w:ilvl w:val="5"/>
        <w:numId w:val="8"/>
      </w:numPr>
      <w:tabs>
        <w:tab w:val="clear" w:pos="926"/>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701552"/>
    <w:pPr>
      <w:numPr>
        <w:ilvl w:val="6"/>
        <w:numId w:val="8"/>
      </w:numPr>
      <w:tabs>
        <w:tab w:val="clear" w:pos="926"/>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701552"/>
    <w:pPr>
      <w:numPr>
        <w:ilvl w:val="7"/>
        <w:numId w:val="8"/>
      </w:numPr>
      <w:tabs>
        <w:tab w:val="clear" w:pos="926"/>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701552"/>
    <w:pPr>
      <w:numPr>
        <w:ilvl w:val="8"/>
        <w:numId w:val="8"/>
      </w:numPr>
      <w:tabs>
        <w:tab w:val="clear" w:pos="926"/>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701552"/>
  </w:style>
  <w:style w:type="paragraph" w:styleId="Anrede">
    <w:name w:val="Salutation"/>
    <w:basedOn w:val="Standard"/>
    <w:next w:val="Standard"/>
    <w:link w:val="AnredeZchn"/>
    <w:rsid w:val="00701552"/>
    <w:rPr>
      <w:sz w:val="24"/>
      <w:szCs w:val="24"/>
    </w:rPr>
  </w:style>
  <w:style w:type="character" w:customStyle="1" w:styleId="AnredeZchn">
    <w:name w:val="Anrede Zchn"/>
    <w:basedOn w:val="Absatz-Standardschriftart"/>
    <w:link w:val="Anrede"/>
    <w:rsid w:val="00701552"/>
    <w:rPr>
      <w:noProof w:val="0"/>
      <w:sz w:val="24"/>
      <w:szCs w:val="24"/>
    </w:rPr>
  </w:style>
  <w:style w:type="paragraph" w:styleId="Aufzhlungszeichen">
    <w:name w:val="List Bullet"/>
    <w:basedOn w:val="Standard"/>
    <w:rsid w:val="00701552"/>
    <w:pPr>
      <w:numPr>
        <w:numId w:val="9"/>
      </w:numPr>
      <w:tabs>
        <w:tab w:val="clear" w:pos="1209"/>
        <w:tab w:val="num" w:pos="360"/>
      </w:tabs>
      <w:ind w:left="360"/>
      <w:contextualSpacing/>
    </w:pPr>
  </w:style>
  <w:style w:type="paragraph" w:styleId="Aufzhlungszeichen2">
    <w:name w:val="List Bullet 2"/>
    <w:basedOn w:val="Standard"/>
    <w:rsid w:val="00701552"/>
    <w:pPr>
      <w:numPr>
        <w:numId w:val="10"/>
      </w:numPr>
      <w:tabs>
        <w:tab w:val="clear" w:pos="1492"/>
        <w:tab w:val="num" w:pos="643"/>
      </w:tabs>
      <w:ind w:left="643"/>
      <w:contextualSpacing/>
    </w:pPr>
  </w:style>
  <w:style w:type="paragraph" w:styleId="Aufzhlungszeichen3">
    <w:name w:val="List Bullet 3"/>
    <w:basedOn w:val="Standard"/>
    <w:rsid w:val="00701552"/>
    <w:pPr>
      <w:numPr>
        <w:numId w:val="11"/>
      </w:numPr>
      <w:tabs>
        <w:tab w:val="num" w:pos="926"/>
      </w:tabs>
      <w:ind w:left="926"/>
      <w:contextualSpacing/>
    </w:pPr>
  </w:style>
  <w:style w:type="paragraph" w:styleId="Aufzhlungszeichen4">
    <w:name w:val="List Bullet 4"/>
    <w:basedOn w:val="Standard"/>
    <w:rsid w:val="00701552"/>
    <w:pPr>
      <w:numPr>
        <w:numId w:val="12"/>
      </w:numPr>
      <w:tabs>
        <w:tab w:val="num" w:pos="1209"/>
      </w:tabs>
      <w:ind w:left="1209"/>
      <w:contextualSpacing/>
    </w:pPr>
  </w:style>
  <w:style w:type="paragraph" w:styleId="Aufzhlungszeichen5">
    <w:name w:val="List Bullet 5"/>
    <w:basedOn w:val="Standard"/>
    <w:rsid w:val="00701552"/>
    <w:pPr>
      <w:numPr>
        <w:numId w:val="13"/>
      </w:numPr>
      <w:tabs>
        <w:tab w:val="num" w:pos="1492"/>
      </w:tabs>
      <w:ind w:left="1492" w:hanging="360"/>
      <w:contextualSpacing/>
    </w:pPr>
  </w:style>
  <w:style w:type="paragraph" w:styleId="Beschriftung">
    <w:name w:val="caption"/>
    <w:basedOn w:val="Standard"/>
    <w:next w:val="Standard"/>
    <w:semiHidden/>
    <w:unhideWhenUsed/>
    <w:qFormat/>
    <w:rsid w:val="00701552"/>
    <w:rPr>
      <w:b/>
      <w:bCs/>
    </w:rPr>
  </w:style>
  <w:style w:type="paragraph" w:styleId="Blocktext">
    <w:name w:val="Block Text"/>
    <w:basedOn w:val="Standard"/>
    <w:rsid w:val="00701552"/>
    <w:pPr>
      <w:spacing w:after="120"/>
      <w:ind w:left="1440" w:right="1440"/>
    </w:pPr>
  </w:style>
  <w:style w:type="paragraph" w:styleId="Datum">
    <w:name w:val="Date"/>
    <w:basedOn w:val="Standard"/>
    <w:next w:val="Standard"/>
    <w:link w:val="DatumZchn"/>
    <w:rsid w:val="00701552"/>
    <w:rPr>
      <w:sz w:val="24"/>
      <w:szCs w:val="24"/>
    </w:rPr>
  </w:style>
  <w:style w:type="character" w:customStyle="1" w:styleId="DatumZchn">
    <w:name w:val="Datum Zchn"/>
    <w:basedOn w:val="Absatz-Standardschriftart"/>
    <w:link w:val="Datum"/>
    <w:rsid w:val="00701552"/>
    <w:rPr>
      <w:noProof w:val="0"/>
      <w:sz w:val="24"/>
      <w:szCs w:val="24"/>
    </w:rPr>
  </w:style>
  <w:style w:type="paragraph" w:styleId="Dokumentstruktur">
    <w:name w:val="Document Map"/>
    <w:basedOn w:val="Standard"/>
    <w:link w:val="DokumentstrukturZchn"/>
    <w:rsid w:val="00701552"/>
    <w:rPr>
      <w:rFonts w:ascii="Tahoma" w:hAnsi="Tahoma" w:cs="Tahoma"/>
      <w:sz w:val="16"/>
      <w:szCs w:val="16"/>
    </w:rPr>
  </w:style>
  <w:style w:type="character" w:customStyle="1" w:styleId="DokumentstrukturZchn">
    <w:name w:val="Dokumentstruktur Zchn"/>
    <w:basedOn w:val="Absatz-Standardschriftart"/>
    <w:link w:val="Dokumentstruktur"/>
    <w:rsid w:val="00701552"/>
    <w:rPr>
      <w:rFonts w:ascii="Tahoma" w:hAnsi="Tahoma" w:cs="Tahoma"/>
      <w:noProof w:val="0"/>
      <w:sz w:val="16"/>
      <w:szCs w:val="16"/>
    </w:rPr>
  </w:style>
  <w:style w:type="paragraph" w:styleId="E-Mail-Signatur">
    <w:name w:val="E-mail Signature"/>
    <w:basedOn w:val="Standard"/>
    <w:link w:val="E-Mail-SignaturZchn"/>
    <w:rsid w:val="00701552"/>
    <w:rPr>
      <w:sz w:val="24"/>
      <w:szCs w:val="24"/>
    </w:rPr>
  </w:style>
  <w:style w:type="character" w:customStyle="1" w:styleId="E-Mail-SignaturZchn">
    <w:name w:val="E-Mail-Signatur Zchn"/>
    <w:basedOn w:val="Absatz-Standardschriftart"/>
    <w:link w:val="E-Mail-Signatur"/>
    <w:rsid w:val="00701552"/>
    <w:rPr>
      <w:noProof w:val="0"/>
      <w:sz w:val="24"/>
      <w:szCs w:val="24"/>
    </w:rPr>
  </w:style>
  <w:style w:type="paragraph" w:styleId="Endnotentext">
    <w:name w:val="endnote text"/>
    <w:basedOn w:val="Standard"/>
    <w:link w:val="EndnotentextZchn"/>
    <w:rsid w:val="00701552"/>
  </w:style>
  <w:style w:type="character" w:customStyle="1" w:styleId="EndnotentextZchn">
    <w:name w:val="Endnotentext Zchn"/>
    <w:basedOn w:val="Absatz-Standardschriftart"/>
    <w:link w:val="Endnotentext"/>
    <w:rsid w:val="00701552"/>
    <w:rPr>
      <w:noProof w:val="0"/>
    </w:rPr>
  </w:style>
  <w:style w:type="paragraph" w:styleId="Fu-Endnotenberschrift">
    <w:name w:val="Note Heading"/>
    <w:basedOn w:val="Standard"/>
    <w:next w:val="Standard"/>
    <w:link w:val="Fu-EndnotenberschriftZchn"/>
    <w:rsid w:val="00701552"/>
    <w:rPr>
      <w:sz w:val="24"/>
      <w:szCs w:val="24"/>
    </w:rPr>
  </w:style>
  <w:style w:type="character" w:customStyle="1" w:styleId="Fu-EndnotenberschriftZchn">
    <w:name w:val="Fuß/-Endnotenüberschrift Zchn"/>
    <w:basedOn w:val="Absatz-Standardschriftart"/>
    <w:link w:val="Fu-Endnotenberschrift"/>
    <w:rsid w:val="00701552"/>
    <w:rPr>
      <w:noProof w:val="0"/>
      <w:sz w:val="24"/>
      <w:szCs w:val="24"/>
    </w:rPr>
  </w:style>
  <w:style w:type="paragraph" w:styleId="Funotentext">
    <w:name w:val="footnote text"/>
    <w:basedOn w:val="Standard"/>
    <w:link w:val="FunotentextZchn"/>
    <w:rsid w:val="00701552"/>
  </w:style>
  <w:style w:type="character" w:customStyle="1" w:styleId="FunotentextZchn">
    <w:name w:val="Fußnotentext Zchn"/>
    <w:basedOn w:val="Absatz-Standardschriftart"/>
    <w:link w:val="Funotentext"/>
    <w:rsid w:val="00701552"/>
    <w:rPr>
      <w:noProof w:val="0"/>
    </w:rPr>
  </w:style>
  <w:style w:type="paragraph" w:styleId="Fuzeile">
    <w:name w:val="footer"/>
    <w:basedOn w:val="Standard"/>
    <w:rsid w:val="00701552"/>
    <w:pPr>
      <w:tabs>
        <w:tab w:val="center" w:pos="4536"/>
        <w:tab w:val="right" w:pos="9072"/>
      </w:tabs>
    </w:pPr>
  </w:style>
  <w:style w:type="character" w:customStyle="1" w:styleId="FuzeileZchn">
    <w:name w:val="Fußzeile Zchn"/>
    <w:basedOn w:val="Absatz-Standardschriftart"/>
    <w:rsid w:val="00701552"/>
    <w:rPr>
      <w:noProof w:val="0"/>
      <w:sz w:val="24"/>
      <w:szCs w:val="24"/>
    </w:rPr>
  </w:style>
  <w:style w:type="paragraph" w:styleId="Gruformel">
    <w:name w:val="Closing"/>
    <w:basedOn w:val="Standard"/>
    <w:link w:val="GruformelZchn"/>
    <w:rsid w:val="00701552"/>
    <w:pPr>
      <w:ind w:left="4252"/>
    </w:pPr>
    <w:rPr>
      <w:sz w:val="24"/>
      <w:szCs w:val="24"/>
    </w:rPr>
  </w:style>
  <w:style w:type="character" w:customStyle="1" w:styleId="GruformelZchn">
    <w:name w:val="Grußformel Zchn"/>
    <w:basedOn w:val="Absatz-Standardschriftart"/>
    <w:link w:val="Gruformel"/>
    <w:rsid w:val="00701552"/>
    <w:rPr>
      <w:noProof w:val="0"/>
      <w:sz w:val="24"/>
      <w:szCs w:val="24"/>
    </w:rPr>
  </w:style>
  <w:style w:type="paragraph" w:styleId="HTMLAdresse">
    <w:name w:val="HTML Address"/>
    <w:basedOn w:val="Standard"/>
    <w:link w:val="HTMLAdresseZchn"/>
    <w:rsid w:val="00701552"/>
    <w:rPr>
      <w:i/>
      <w:iCs/>
      <w:sz w:val="24"/>
      <w:szCs w:val="24"/>
    </w:rPr>
  </w:style>
  <w:style w:type="character" w:customStyle="1" w:styleId="HTMLAdresseZchn">
    <w:name w:val="HTML Adresse Zchn"/>
    <w:basedOn w:val="Absatz-Standardschriftart"/>
    <w:link w:val="HTMLAdresse"/>
    <w:rsid w:val="00701552"/>
    <w:rPr>
      <w:i/>
      <w:iCs/>
      <w:noProof w:val="0"/>
      <w:sz w:val="24"/>
      <w:szCs w:val="24"/>
    </w:rPr>
  </w:style>
  <w:style w:type="paragraph" w:styleId="HTMLVorformatiert">
    <w:name w:val="HTML Preformatted"/>
    <w:basedOn w:val="Standard"/>
    <w:link w:val="HTMLVorformatiertZchn"/>
    <w:rsid w:val="00701552"/>
    <w:rPr>
      <w:rFonts w:ascii="Courier New" w:hAnsi="Courier New" w:cs="Courier New"/>
    </w:rPr>
  </w:style>
  <w:style w:type="character" w:customStyle="1" w:styleId="HTMLVorformatiertZchn">
    <w:name w:val="HTML Vorformatiert Zchn"/>
    <w:basedOn w:val="Absatz-Standardschriftart"/>
    <w:link w:val="HTMLVorformatiert"/>
    <w:rsid w:val="00701552"/>
    <w:rPr>
      <w:rFonts w:ascii="Courier New" w:hAnsi="Courier New" w:cs="Courier New"/>
      <w:noProof w:val="0"/>
    </w:rPr>
  </w:style>
  <w:style w:type="paragraph" w:styleId="Index1">
    <w:name w:val="index 1"/>
    <w:basedOn w:val="Standard"/>
    <w:next w:val="Standard"/>
    <w:autoRedefine/>
    <w:rsid w:val="00701552"/>
    <w:pPr>
      <w:ind w:left="200" w:hanging="200"/>
    </w:pPr>
  </w:style>
  <w:style w:type="paragraph" w:styleId="Index2">
    <w:name w:val="index 2"/>
    <w:basedOn w:val="Standard"/>
    <w:next w:val="Standard"/>
    <w:autoRedefine/>
    <w:rsid w:val="00701552"/>
    <w:pPr>
      <w:ind w:left="400" w:hanging="200"/>
    </w:pPr>
  </w:style>
  <w:style w:type="paragraph" w:styleId="Index3">
    <w:name w:val="index 3"/>
    <w:basedOn w:val="Standard"/>
    <w:next w:val="Standard"/>
    <w:autoRedefine/>
    <w:rsid w:val="00701552"/>
    <w:pPr>
      <w:ind w:left="600" w:hanging="200"/>
    </w:pPr>
  </w:style>
  <w:style w:type="paragraph" w:styleId="Index4">
    <w:name w:val="index 4"/>
    <w:basedOn w:val="Standard"/>
    <w:next w:val="Standard"/>
    <w:autoRedefine/>
    <w:rsid w:val="00701552"/>
    <w:pPr>
      <w:ind w:left="800" w:hanging="200"/>
    </w:pPr>
  </w:style>
  <w:style w:type="paragraph" w:styleId="Index5">
    <w:name w:val="index 5"/>
    <w:basedOn w:val="Standard"/>
    <w:next w:val="Standard"/>
    <w:autoRedefine/>
    <w:rsid w:val="00701552"/>
    <w:pPr>
      <w:ind w:left="1000" w:hanging="200"/>
    </w:pPr>
  </w:style>
  <w:style w:type="paragraph" w:styleId="Index6">
    <w:name w:val="index 6"/>
    <w:basedOn w:val="Standard"/>
    <w:next w:val="Standard"/>
    <w:autoRedefine/>
    <w:rsid w:val="00701552"/>
    <w:pPr>
      <w:ind w:left="1200" w:hanging="200"/>
    </w:pPr>
  </w:style>
  <w:style w:type="paragraph" w:styleId="Index7">
    <w:name w:val="index 7"/>
    <w:basedOn w:val="Standard"/>
    <w:next w:val="Standard"/>
    <w:autoRedefine/>
    <w:rsid w:val="00701552"/>
    <w:pPr>
      <w:ind w:left="1400" w:hanging="200"/>
    </w:pPr>
  </w:style>
  <w:style w:type="paragraph" w:styleId="Index8">
    <w:name w:val="index 8"/>
    <w:basedOn w:val="Standard"/>
    <w:next w:val="Standard"/>
    <w:autoRedefine/>
    <w:rsid w:val="00701552"/>
    <w:pPr>
      <w:ind w:left="1600" w:hanging="200"/>
    </w:pPr>
  </w:style>
  <w:style w:type="paragraph" w:styleId="Index9">
    <w:name w:val="index 9"/>
    <w:basedOn w:val="Standard"/>
    <w:next w:val="Standard"/>
    <w:autoRedefine/>
    <w:rsid w:val="00701552"/>
    <w:pPr>
      <w:ind w:left="1800" w:hanging="200"/>
    </w:pPr>
  </w:style>
  <w:style w:type="paragraph" w:styleId="Indexberschrift">
    <w:name w:val="index heading"/>
    <w:basedOn w:val="Standard"/>
    <w:next w:val="Index1"/>
    <w:rsid w:val="00701552"/>
    <w:rPr>
      <w:rFonts w:asciiTheme="majorHAnsi" w:eastAsiaTheme="majorEastAsia" w:hAnsiTheme="majorHAnsi" w:cstheme="majorBidi"/>
      <w:b/>
      <w:bCs/>
    </w:rPr>
  </w:style>
  <w:style w:type="character" w:customStyle="1" w:styleId="berschrift1Zchn">
    <w:name w:val="Überschrift 1 Zchn"/>
    <w:basedOn w:val="Absatz-Standardschriftart"/>
    <w:rsid w:val="00701552"/>
    <w:rPr>
      <w:b/>
      <w:noProof w:val="0"/>
      <w:sz w:val="28"/>
    </w:rPr>
  </w:style>
  <w:style w:type="paragraph" w:styleId="Inhaltsverzeichnisberschrift">
    <w:name w:val="TOC Heading"/>
    <w:basedOn w:val="berschrift1"/>
    <w:next w:val="Standard"/>
    <w:uiPriority w:val="39"/>
    <w:semiHidden/>
    <w:unhideWhenUsed/>
    <w:qFormat/>
    <w:rsid w:val="00701552"/>
    <w:pPr>
      <w:numPr>
        <w:numId w:val="0"/>
      </w:numPr>
      <w:spacing w:before="240" w:after="60"/>
      <w:jc w:val="left"/>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701552"/>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701552"/>
    <w:rPr>
      <w:b/>
      <w:bCs/>
      <w:i/>
      <w:iCs/>
      <w:noProof w:val="0"/>
      <w:color w:val="4F81BD" w:themeColor="accent1"/>
      <w:sz w:val="24"/>
      <w:szCs w:val="24"/>
    </w:rPr>
  </w:style>
  <w:style w:type="paragraph" w:styleId="Kommentartext">
    <w:name w:val="annotation text"/>
    <w:basedOn w:val="Standard"/>
    <w:link w:val="KommentartextZchn"/>
    <w:rsid w:val="00701552"/>
  </w:style>
  <w:style w:type="character" w:customStyle="1" w:styleId="KommentartextZchn">
    <w:name w:val="Kommentartext Zchn"/>
    <w:basedOn w:val="Absatz-Standardschriftart"/>
    <w:link w:val="Kommentartext"/>
    <w:rsid w:val="00701552"/>
    <w:rPr>
      <w:noProof w:val="0"/>
    </w:rPr>
  </w:style>
  <w:style w:type="paragraph" w:styleId="Kommentarthema">
    <w:name w:val="annotation subject"/>
    <w:basedOn w:val="Standard"/>
    <w:next w:val="Kommentartext"/>
    <w:link w:val="KommentarthemaZchn"/>
    <w:rsid w:val="00701552"/>
    <w:rPr>
      <w:b/>
      <w:bCs/>
      <w:sz w:val="24"/>
      <w:szCs w:val="24"/>
    </w:rPr>
  </w:style>
  <w:style w:type="character" w:customStyle="1" w:styleId="KommentarthemaZchn">
    <w:name w:val="Kommentarthema Zchn"/>
    <w:basedOn w:val="KommentartextZchn"/>
    <w:link w:val="Kommentarthema"/>
    <w:rsid w:val="00701552"/>
    <w:rPr>
      <w:b/>
      <w:bCs/>
      <w:noProof w:val="0"/>
      <w:sz w:val="24"/>
      <w:szCs w:val="24"/>
    </w:rPr>
  </w:style>
  <w:style w:type="paragraph" w:styleId="Kopfzeile">
    <w:name w:val="header"/>
    <w:basedOn w:val="Standard"/>
    <w:rsid w:val="00701552"/>
    <w:pPr>
      <w:tabs>
        <w:tab w:val="center" w:pos="4536"/>
        <w:tab w:val="right" w:pos="9072"/>
      </w:tabs>
    </w:pPr>
  </w:style>
  <w:style w:type="character" w:customStyle="1" w:styleId="KopfzeileZchn">
    <w:name w:val="Kopfzeile Zchn"/>
    <w:basedOn w:val="Absatz-Standardschriftart"/>
    <w:rsid w:val="00701552"/>
    <w:rPr>
      <w:noProof w:val="0"/>
      <w:sz w:val="24"/>
      <w:szCs w:val="24"/>
    </w:rPr>
  </w:style>
  <w:style w:type="paragraph" w:styleId="Liste">
    <w:name w:val="List"/>
    <w:basedOn w:val="Standard"/>
    <w:rsid w:val="00701552"/>
    <w:pPr>
      <w:ind w:left="283" w:hanging="283"/>
      <w:contextualSpacing/>
    </w:pPr>
  </w:style>
  <w:style w:type="paragraph" w:styleId="Liste2">
    <w:name w:val="List 2"/>
    <w:basedOn w:val="Standard"/>
    <w:rsid w:val="00701552"/>
    <w:pPr>
      <w:ind w:left="566" w:hanging="283"/>
      <w:contextualSpacing/>
    </w:pPr>
  </w:style>
  <w:style w:type="paragraph" w:styleId="Liste3">
    <w:name w:val="List 3"/>
    <w:basedOn w:val="Standard"/>
    <w:rsid w:val="00701552"/>
    <w:pPr>
      <w:ind w:left="849" w:hanging="283"/>
      <w:contextualSpacing/>
    </w:pPr>
  </w:style>
  <w:style w:type="paragraph" w:styleId="Liste4">
    <w:name w:val="List 4"/>
    <w:basedOn w:val="Standard"/>
    <w:rsid w:val="00701552"/>
    <w:pPr>
      <w:ind w:left="1132" w:hanging="283"/>
      <w:contextualSpacing/>
    </w:pPr>
  </w:style>
  <w:style w:type="paragraph" w:styleId="Liste5">
    <w:name w:val="List 5"/>
    <w:basedOn w:val="Standard"/>
    <w:rsid w:val="00701552"/>
    <w:pPr>
      <w:ind w:left="1415" w:hanging="283"/>
      <w:contextualSpacing/>
    </w:pPr>
  </w:style>
  <w:style w:type="paragraph" w:styleId="Listenabsatz">
    <w:name w:val="List Paragraph"/>
    <w:basedOn w:val="Standard"/>
    <w:uiPriority w:val="34"/>
    <w:qFormat/>
    <w:rsid w:val="00701552"/>
    <w:pPr>
      <w:ind w:left="708"/>
    </w:pPr>
  </w:style>
  <w:style w:type="paragraph" w:styleId="Listenfortsetzung">
    <w:name w:val="List Continue"/>
    <w:basedOn w:val="Standard"/>
    <w:rsid w:val="00701552"/>
    <w:pPr>
      <w:spacing w:after="120"/>
      <w:ind w:left="283"/>
      <w:contextualSpacing/>
    </w:pPr>
  </w:style>
  <w:style w:type="paragraph" w:styleId="Listenfortsetzung2">
    <w:name w:val="List Continue 2"/>
    <w:basedOn w:val="Standard"/>
    <w:rsid w:val="00701552"/>
    <w:pPr>
      <w:spacing w:after="120"/>
      <w:ind w:left="566"/>
      <w:contextualSpacing/>
    </w:pPr>
  </w:style>
  <w:style w:type="paragraph" w:styleId="Listenfortsetzung3">
    <w:name w:val="List Continue 3"/>
    <w:basedOn w:val="Standard"/>
    <w:rsid w:val="00701552"/>
    <w:pPr>
      <w:spacing w:after="120"/>
      <w:ind w:left="849"/>
      <w:contextualSpacing/>
    </w:pPr>
  </w:style>
  <w:style w:type="paragraph" w:styleId="Listenfortsetzung4">
    <w:name w:val="List Continue 4"/>
    <w:basedOn w:val="Standard"/>
    <w:rsid w:val="00701552"/>
    <w:pPr>
      <w:spacing w:after="120"/>
      <w:ind w:left="1132"/>
      <w:contextualSpacing/>
    </w:pPr>
  </w:style>
  <w:style w:type="paragraph" w:styleId="Listenfortsetzung5">
    <w:name w:val="List Continue 5"/>
    <w:basedOn w:val="Standard"/>
    <w:rsid w:val="00701552"/>
    <w:pPr>
      <w:spacing w:after="120"/>
      <w:ind w:left="1415"/>
      <w:contextualSpacing/>
    </w:pPr>
  </w:style>
  <w:style w:type="paragraph" w:styleId="Listennummer">
    <w:name w:val="List Number"/>
    <w:basedOn w:val="Standard"/>
    <w:rsid w:val="00701552"/>
    <w:pPr>
      <w:numPr>
        <w:numId w:val="14"/>
      </w:numPr>
      <w:ind w:left="360" w:hanging="360"/>
      <w:contextualSpacing/>
    </w:pPr>
  </w:style>
  <w:style w:type="paragraph" w:styleId="Listennummer2">
    <w:name w:val="List Number 2"/>
    <w:basedOn w:val="Standard"/>
    <w:rsid w:val="00701552"/>
    <w:pPr>
      <w:numPr>
        <w:numId w:val="15"/>
      </w:numPr>
      <w:tabs>
        <w:tab w:val="clear" w:pos="360"/>
        <w:tab w:val="num" w:pos="643"/>
      </w:tabs>
      <w:ind w:left="643" w:hanging="360"/>
      <w:contextualSpacing/>
    </w:pPr>
  </w:style>
  <w:style w:type="paragraph" w:styleId="Listennummer3">
    <w:name w:val="List Number 3"/>
    <w:basedOn w:val="Standard"/>
    <w:rsid w:val="00701552"/>
    <w:pPr>
      <w:numPr>
        <w:numId w:val="16"/>
      </w:numPr>
      <w:tabs>
        <w:tab w:val="clear" w:pos="360"/>
        <w:tab w:val="num" w:pos="926"/>
      </w:tabs>
      <w:ind w:left="926" w:hanging="360"/>
      <w:contextualSpacing/>
    </w:pPr>
  </w:style>
  <w:style w:type="paragraph" w:styleId="Listennummer4">
    <w:name w:val="List Number 4"/>
    <w:basedOn w:val="Standard"/>
    <w:rsid w:val="00701552"/>
    <w:pPr>
      <w:numPr>
        <w:numId w:val="17"/>
      </w:numPr>
      <w:tabs>
        <w:tab w:val="clear" w:pos="360"/>
        <w:tab w:val="num" w:pos="1209"/>
      </w:tabs>
      <w:ind w:left="1209" w:hanging="360"/>
      <w:contextualSpacing/>
    </w:pPr>
  </w:style>
  <w:style w:type="paragraph" w:styleId="Listennummer5">
    <w:name w:val="List Number 5"/>
    <w:basedOn w:val="Standard"/>
    <w:rsid w:val="00701552"/>
    <w:pPr>
      <w:numPr>
        <w:numId w:val="18"/>
      </w:numPr>
      <w:tabs>
        <w:tab w:val="clear" w:pos="360"/>
        <w:tab w:val="num" w:pos="1492"/>
      </w:tabs>
      <w:ind w:left="1492" w:hanging="360"/>
      <w:contextualSpacing/>
    </w:pPr>
  </w:style>
  <w:style w:type="paragraph" w:styleId="Literaturverzeichnis">
    <w:name w:val="Bibliography"/>
    <w:basedOn w:val="Standard"/>
    <w:next w:val="Standard"/>
    <w:uiPriority w:val="37"/>
    <w:semiHidden/>
    <w:unhideWhenUsed/>
    <w:rsid w:val="00701552"/>
  </w:style>
  <w:style w:type="paragraph" w:styleId="Nachrichtenkopf">
    <w:name w:val="Message Header"/>
    <w:basedOn w:val="Standard"/>
    <w:link w:val="NachrichtenkopfZchn"/>
    <w:rsid w:val="0070155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701552"/>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701552"/>
    <w:rPr>
      <w:rFonts w:ascii="Courier New" w:hAnsi="Courier New" w:cs="Courier New"/>
    </w:rPr>
  </w:style>
  <w:style w:type="character" w:customStyle="1" w:styleId="NurTextZchn">
    <w:name w:val="Nur Text Zchn"/>
    <w:basedOn w:val="Absatz-Standardschriftart"/>
    <w:link w:val="NurText"/>
    <w:rsid w:val="00701552"/>
    <w:rPr>
      <w:rFonts w:ascii="Courier New" w:hAnsi="Courier New" w:cs="Courier New"/>
      <w:noProof w:val="0"/>
    </w:rPr>
  </w:style>
  <w:style w:type="paragraph" w:styleId="Rechtsgrundlagenverzeichnis">
    <w:name w:val="table of authorities"/>
    <w:basedOn w:val="Standard"/>
    <w:next w:val="Standard"/>
    <w:rsid w:val="00701552"/>
    <w:pPr>
      <w:ind w:left="200" w:hanging="200"/>
    </w:pPr>
  </w:style>
  <w:style w:type="paragraph" w:styleId="RGV-berschrift">
    <w:name w:val="toa heading"/>
    <w:basedOn w:val="Standard"/>
    <w:next w:val="Standard"/>
    <w:rsid w:val="00701552"/>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701552"/>
    <w:rPr>
      <w:noProof w:val="0"/>
    </w:rPr>
  </w:style>
  <w:style w:type="paragraph" w:styleId="Sprechblasentext">
    <w:name w:val="Balloon Text"/>
    <w:basedOn w:val="Standard"/>
    <w:link w:val="SprechblasentextZchn"/>
    <w:rsid w:val="00701552"/>
    <w:rPr>
      <w:rFonts w:ascii="Tahoma" w:hAnsi="Tahoma" w:cs="Tahoma"/>
      <w:sz w:val="16"/>
      <w:szCs w:val="16"/>
    </w:rPr>
  </w:style>
  <w:style w:type="character" w:customStyle="1" w:styleId="SprechblasentextZchn">
    <w:name w:val="Sprechblasentext Zchn"/>
    <w:basedOn w:val="Absatz-Standardschriftart"/>
    <w:link w:val="Sprechblasentext"/>
    <w:rsid w:val="00701552"/>
    <w:rPr>
      <w:rFonts w:ascii="Tahoma" w:hAnsi="Tahoma" w:cs="Tahoma"/>
      <w:noProof w:val="0"/>
      <w:sz w:val="16"/>
      <w:szCs w:val="16"/>
    </w:rPr>
  </w:style>
  <w:style w:type="paragraph" w:styleId="StandardWeb">
    <w:name w:val="Normal (Web)"/>
    <w:basedOn w:val="Standard"/>
    <w:rsid w:val="00701552"/>
    <w:rPr>
      <w:sz w:val="24"/>
      <w:szCs w:val="24"/>
    </w:rPr>
  </w:style>
  <w:style w:type="paragraph" w:styleId="Standardeinzug">
    <w:name w:val="Normal Indent"/>
    <w:basedOn w:val="Standard"/>
    <w:rsid w:val="00701552"/>
    <w:pPr>
      <w:ind w:left="708"/>
    </w:pPr>
  </w:style>
  <w:style w:type="table" w:styleId="Tabellenraster">
    <w:name w:val="Table Grid"/>
    <w:basedOn w:val="NormaleTabelle"/>
    <w:rsid w:val="00701552"/>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701552"/>
    <w:pPr>
      <w:spacing w:after="120"/>
    </w:pPr>
    <w:rPr>
      <w:sz w:val="24"/>
      <w:szCs w:val="24"/>
    </w:rPr>
  </w:style>
  <w:style w:type="character" w:customStyle="1" w:styleId="TextkrperZchn">
    <w:name w:val="Textkörper Zchn"/>
    <w:basedOn w:val="Absatz-Standardschriftart"/>
    <w:link w:val="Textkrper"/>
    <w:rsid w:val="00701552"/>
    <w:rPr>
      <w:noProof w:val="0"/>
      <w:sz w:val="24"/>
      <w:szCs w:val="24"/>
    </w:rPr>
  </w:style>
  <w:style w:type="paragraph" w:styleId="Textkrper2">
    <w:name w:val="Body Text 2"/>
    <w:basedOn w:val="Standard"/>
    <w:link w:val="Textkrper2Zchn"/>
    <w:rsid w:val="00701552"/>
    <w:pPr>
      <w:spacing w:after="120" w:line="480" w:lineRule="auto"/>
    </w:pPr>
    <w:rPr>
      <w:sz w:val="24"/>
      <w:szCs w:val="24"/>
    </w:rPr>
  </w:style>
  <w:style w:type="character" w:customStyle="1" w:styleId="Textkrper2Zchn">
    <w:name w:val="Textkörper 2 Zchn"/>
    <w:basedOn w:val="Absatz-Standardschriftart"/>
    <w:link w:val="Textkrper2"/>
    <w:rsid w:val="00701552"/>
    <w:rPr>
      <w:noProof w:val="0"/>
      <w:sz w:val="24"/>
      <w:szCs w:val="24"/>
    </w:rPr>
  </w:style>
  <w:style w:type="paragraph" w:styleId="Textkrper3">
    <w:name w:val="Body Text 3"/>
    <w:basedOn w:val="Standard"/>
    <w:link w:val="Textkrper3Zchn"/>
    <w:rsid w:val="00701552"/>
    <w:pPr>
      <w:spacing w:after="120"/>
    </w:pPr>
    <w:rPr>
      <w:sz w:val="16"/>
      <w:szCs w:val="16"/>
    </w:rPr>
  </w:style>
  <w:style w:type="character" w:customStyle="1" w:styleId="Textkrper3Zchn">
    <w:name w:val="Textkörper 3 Zchn"/>
    <w:basedOn w:val="Absatz-Standardschriftart"/>
    <w:link w:val="Textkrper3"/>
    <w:rsid w:val="00701552"/>
    <w:rPr>
      <w:noProof w:val="0"/>
      <w:sz w:val="16"/>
      <w:szCs w:val="16"/>
    </w:rPr>
  </w:style>
  <w:style w:type="paragraph" w:styleId="Textkrper-Einzug2">
    <w:name w:val="Body Text Indent 2"/>
    <w:basedOn w:val="Standard"/>
    <w:link w:val="Textkrper-Einzug2Zchn"/>
    <w:rsid w:val="00701552"/>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701552"/>
    <w:rPr>
      <w:noProof w:val="0"/>
      <w:sz w:val="24"/>
      <w:szCs w:val="24"/>
    </w:rPr>
  </w:style>
  <w:style w:type="paragraph" w:styleId="Textkrper-Einzug3">
    <w:name w:val="Body Text Indent 3"/>
    <w:basedOn w:val="Standard"/>
    <w:link w:val="Textkrper-Einzug3Zchn"/>
    <w:rsid w:val="00701552"/>
    <w:pPr>
      <w:spacing w:after="120"/>
      <w:ind w:left="283"/>
    </w:pPr>
    <w:rPr>
      <w:sz w:val="16"/>
      <w:szCs w:val="16"/>
    </w:rPr>
  </w:style>
  <w:style w:type="character" w:customStyle="1" w:styleId="Textkrper-Einzug3Zchn">
    <w:name w:val="Textkörper-Einzug 3 Zchn"/>
    <w:basedOn w:val="Absatz-Standardschriftart"/>
    <w:link w:val="Textkrper-Einzug3"/>
    <w:rsid w:val="00701552"/>
    <w:rPr>
      <w:noProof w:val="0"/>
      <w:sz w:val="16"/>
      <w:szCs w:val="16"/>
    </w:rPr>
  </w:style>
  <w:style w:type="paragraph" w:styleId="Textkrper-Erstzeileneinzug">
    <w:name w:val="Body Text First Indent"/>
    <w:basedOn w:val="Standard"/>
    <w:link w:val="Textkrper-ErstzeileneinzugZchn"/>
    <w:rsid w:val="00701552"/>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701552"/>
    <w:rPr>
      <w:noProof w:val="0"/>
      <w:sz w:val="24"/>
      <w:szCs w:val="24"/>
    </w:rPr>
  </w:style>
  <w:style w:type="paragraph" w:styleId="Textkrper-Zeileneinzug">
    <w:name w:val="Body Text Indent"/>
    <w:basedOn w:val="Standard"/>
    <w:link w:val="Textkrper-ZeileneinzugZchn"/>
    <w:rsid w:val="00701552"/>
    <w:pPr>
      <w:spacing w:after="120"/>
      <w:ind w:left="283"/>
    </w:pPr>
    <w:rPr>
      <w:sz w:val="24"/>
      <w:szCs w:val="24"/>
    </w:rPr>
  </w:style>
  <w:style w:type="character" w:customStyle="1" w:styleId="Textkrper-ZeileneinzugZchn">
    <w:name w:val="Textkörper-Zeileneinzug Zchn"/>
    <w:basedOn w:val="Absatz-Standardschriftart"/>
    <w:link w:val="Textkrper-Zeileneinzug"/>
    <w:rsid w:val="00701552"/>
    <w:rPr>
      <w:noProof w:val="0"/>
      <w:sz w:val="24"/>
      <w:szCs w:val="24"/>
    </w:rPr>
  </w:style>
  <w:style w:type="paragraph" w:styleId="Textkrper-Erstzeileneinzug2">
    <w:name w:val="Body Text First Indent 2"/>
    <w:basedOn w:val="Standard"/>
    <w:link w:val="Textkrper-Erstzeileneinzug2Zchn"/>
    <w:rsid w:val="00701552"/>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701552"/>
    <w:rPr>
      <w:noProof w:val="0"/>
      <w:sz w:val="24"/>
      <w:szCs w:val="24"/>
    </w:rPr>
  </w:style>
  <w:style w:type="paragraph" w:styleId="Titel">
    <w:name w:val="Title"/>
    <w:basedOn w:val="Standard"/>
    <w:next w:val="Standard"/>
    <w:link w:val="TitelZchn"/>
    <w:qFormat/>
    <w:rsid w:val="00701552"/>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701552"/>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701552"/>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701552"/>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701552"/>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701552"/>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701552"/>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701552"/>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701552"/>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701552"/>
    <w:rPr>
      <w:rFonts w:asciiTheme="majorHAnsi" w:eastAsiaTheme="majorEastAsia" w:hAnsiTheme="majorHAnsi" w:cstheme="majorBidi"/>
      <w:noProof w:val="0"/>
      <w:sz w:val="22"/>
      <w:szCs w:val="22"/>
    </w:rPr>
  </w:style>
  <w:style w:type="paragraph" w:styleId="Umschlagabsenderadresse">
    <w:name w:val="envelope return"/>
    <w:basedOn w:val="Standard"/>
    <w:rsid w:val="00701552"/>
    <w:rPr>
      <w:rFonts w:asciiTheme="majorHAnsi" w:eastAsiaTheme="majorEastAsia" w:hAnsiTheme="majorHAnsi" w:cstheme="majorBidi"/>
    </w:rPr>
  </w:style>
  <w:style w:type="paragraph" w:styleId="Umschlagadresse">
    <w:name w:val="envelope address"/>
    <w:basedOn w:val="Standard"/>
    <w:rsid w:val="00701552"/>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701552"/>
    <w:pPr>
      <w:ind w:left="4252"/>
    </w:pPr>
    <w:rPr>
      <w:sz w:val="24"/>
      <w:szCs w:val="24"/>
    </w:rPr>
  </w:style>
  <w:style w:type="character" w:customStyle="1" w:styleId="UnterschriftZchn">
    <w:name w:val="Unterschrift Zchn"/>
    <w:basedOn w:val="Absatz-Standardschriftart"/>
    <w:link w:val="Unterschrift"/>
    <w:rsid w:val="00701552"/>
    <w:rPr>
      <w:noProof w:val="0"/>
      <w:sz w:val="24"/>
      <w:szCs w:val="24"/>
    </w:rPr>
  </w:style>
  <w:style w:type="paragraph" w:styleId="Untertitel">
    <w:name w:val="Subtitle"/>
    <w:basedOn w:val="Standard"/>
    <w:next w:val="Standard"/>
    <w:link w:val="UntertitelZchn"/>
    <w:qFormat/>
    <w:rsid w:val="00701552"/>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701552"/>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701552"/>
  </w:style>
  <w:style w:type="paragraph" w:styleId="Verzeichnis2">
    <w:name w:val="toc 2"/>
    <w:basedOn w:val="Standard"/>
    <w:next w:val="Standard"/>
    <w:autoRedefine/>
    <w:rsid w:val="00701552"/>
    <w:pPr>
      <w:ind w:left="200"/>
    </w:pPr>
  </w:style>
  <w:style w:type="paragraph" w:styleId="Verzeichnis3">
    <w:name w:val="toc 3"/>
    <w:basedOn w:val="Standard"/>
    <w:next w:val="Standard"/>
    <w:autoRedefine/>
    <w:rsid w:val="00701552"/>
    <w:pPr>
      <w:ind w:left="400"/>
    </w:pPr>
  </w:style>
  <w:style w:type="paragraph" w:styleId="Verzeichnis4">
    <w:name w:val="toc 4"/>
    <w:basedOn w:val="Standard"/>
    <w:next w:val="Standard"/>
    <w:autoRedefine/>
    <w:rsid w:val="00701552"/>
    <w:pPr>
      <w:ind w:left="600"/>
    </w:pPr>
  </w:style>
  <w:style w:type="paragraph" w:styleId="Verzeichnis5">
    <w:name w:val="toc 5"/>
    <w:basedOn w:val="Standard"/>
    <w:next w:val="Standard"/>
    <w:autoRedefine/>
    <w:rsid w:val="00701552"/>
    <w:pPr>
      <w:ind w:left="800"/>
    </w:pPr>
  </w:style>
  <w:style w:type="paragraph" w:styleId="Verzeichnis6">
    <w:name w:val="toc 6"/>
    <w:basedOn w:val="Standard"/>
    <w:next w:val="Standard"/>
    <w:autoRedefine/>
    <w:rsid w:val="00701552"/>
    <w:pPr>
      <w:ind w:left="1000"/>
    </w:pPr>
  </w:style>
  <w:style w:type="paragraph" w:styleId="Verzeichnis7">
    <w:name w:val="toc 7"/>
    <w:basedOn w:val="Standard"/>
    <w:next w:val="Standard"/>
    <w:autoRedefine/>
    <w:rsid w:val="00701552"/>
    <w:pPr>
      <w:ind w:left="1200"/>
    </w:pPr>
  </w:style>
  <w:style w:type="paragraph" w:styleId="Verzeichnis8">
    <w:name w:val="toc 8"/>
    <w:basedOn w:val="Standard"/>
    <w:next w:val="Standard"/>
    <w:autoRedefine/>
    <w:rsid w:val="00701552"/>
    <w:pPr>
      <w:ind w:left="1400"/>
    </w:pPr>
  </w:style>
  <w:style w:type="paragraph" w:styleId="Verzeichnis9">
    <w:name w:val="toc 9"/>
    <w:basedOn w:val="Standard"/>
    <w:next w:val="Standard"/>
    <w:autoRedefine/>
    <w:rsid w:val="00701552"/>
    <w:pPr>
      <w:ind w:left="1600"/>
    </w:pPr>
  </w:style>
  <w:style w:type="paragraph" w:styleId="Zitat">
    <w:name w:val="Quote"/>
    <w:basedOn w:val="Standard"/>
    <w:next w:val="Standard"/>
    <w:link w:val="ZitatZchn"/>
    <w:uiPriority w:val="29"/>
    <w:qFormat/>
    <w:rsid w:val="00701552"/>
    <w:rPr>
      <w:i/>
      <w:iCs/>
      <w:color w:val="000000" w:themeColor="text1"/>
      <w:sz w:val="24"/>
      <w:szCs w:val="24"/>
    </w:rPr>
  </w:style>
  <w:style w:type="character" w:customStyle="1" w:styleId="ZitatZchn">
    <w:name w:val="Zitat Zchn"/>
    <w:basedOn w:val="Absatz-Standardschriftart"/>
    <w:link w:val="Zitat"/>
    <w:uiPriority w:val="29"/>
    <w:rsid w:val="00701552"/>
    <w:rPr>
      <w:i/>
      <w:iCs/>
      <w:noProof w:val="0"/>
      <w:color w:val="000000" w:themeColor="text1"/>
      <w:sz w:val="24"/>
      <w:szCs w:val="24"/>
    </w:rPr>
  </w:style>
  <w:style w:type="numbering" w:styleId="111111">
    <w:name w:val="Outline List 2"/>
    <w:basedOn w:val="KeineListe"/>
    <w:rsid w:val="00701552"/>
    <w:pPr>
      <w:numPr>
        <w:numId w:val="11"/>
      </w:numPr>
    </w:pPr>
  </w:style>
  <w:style w:type="numbering" w:styleId="1ai">
    <w:name w:val="Outline List 1"/>
    <w:basedOn w:val="KeineListe"/>
    <w:rsid w:val="00701552"/>
    <w:pPr>
      <w:numPr>
        <w:numId w:val="12"/>
      </w:numPr>
    </w:pPr>
  </w:style>
  <w:style w:type="numbering" w:styleId="ArtikelAbschnitt">
    <w:name w:val="Outline List 3"/>
    <w:basedOn w:val="KeineListe"/>
    <w:rsid w:val="00701552"/>
    <w:pPr>
      <w:numPr>
        <w:numId w:val="13"/>
      </w:numPr>
    </w:pPr>
  </w:style>
  <w:style w:type="character" w:styleId="BesuchterHyperlink">
    <w:name w:val="FollowedHyperlink"/>
    <w:basedOn w:val="Absatz-Standardschriftart"/>
    <w:rsid w:val="00701552"/>
    <w:rPr>
      <w:noProof w:val="0"/>
      <w:color w:val="800080" w:themeColor="followedHyperlink"/>
      <w:u w:val="single"/>
    </w:rPr>
  </w:style>
  <w:style w:type="character" w:styleId="Buchtitel">
    <w:name w:val="Book Title"/>
    <w:basedOn w:val="Absatz-Standardschriftart"/>
    <w:uiPriority w:val="33"/>
    <w:qFormat/>
    <w:rsid w:val="00701552"/>
    <w:rPr>
      <w:b/>
      <w:bCs/>
      <w:smallCaps/>
      <w:noProof w:val="0"/>
      <w:spacing w:val="5"/>
    </w:rPr>
  </w:style>
  <w:style w:type="table" w:styleId="DunkleListe">
    <w:name w:val="Dark List"/>
    <w:basedOn w:val="NormaleTabelle"/>
    <w:uiPriority w:val="70"/>
    <w:rsid w:val="00701552"/>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701552"/>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701552"/>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701552"/>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701552"/>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701552"/>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701552"/>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701552"/>
    <w:rPr>
      <w:noProof w:val="0"/>
      <w:vertAlign w:val="superscript"/>
    </w:rPr>
  </w:style>
  <w:style w:type="table" w:styleId="FarbigeListe">
    <w:name w:val="Colorful List"/>
    <w:basedOn w:val="NormaleTabelle"/>
    <w:uiPriority w:val="72"/>
    <w:rsid w:val="00701552"/>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701552"/>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701552"/>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701552"/>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701552"/>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701552"/>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701552"/>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701552"/>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701552"/>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701552"/>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701552"/>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701552"/>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701552"/>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701552"/>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701552"/>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701552"/>
    <w:rPr>
      <w:b/>
      <w:bCs/>
      <w:noProof w:val="0"/>
    </w:rPr>
  </w:style>
  <w:style w:type="character" w:styleId="Funotenzeichen">
    <w:name w:val="footnote reference"/>
    <w:basedOn w:val="Absatz-Standardschriftart"/>
    <w:rsid w:val="00701552"/>
    <w:rPr>
      <w:noProof w:val="0"/>
      <w:vertAlign w:val="superscript"/>
    </w:rPr>
  </w:style>
  <w:style w:type="table" w:styleId="HelleListe">
    <w:name w:val="Light List"/>
    <w:basedOn w:val="NormaleTabelle"/>
    <w:uiPriority w:val="61"/>
    <w:rsid w:val="0070155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701552"/>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701552"/>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701552"/>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701552"/>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701552"/>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701552"/>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70155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701552"/>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701552"/>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70155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701552"/>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701552"/>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701552"/>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70155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701552"/>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701552"/>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701552"/>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701552"/>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701552"/>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701552"/>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701552"/>
    <w:rPr>
      <w:i/>
      <w:iCs/>
      <w:noProof w:val="0"/>
    </w:rPr>
  </w:style>
  <w:style w:type="character" w:styleId="HTMLAkronym">
    <w:name w:val="HTML Acronym"/>
    <w:basedOn w:val="Absatz-Standardschriftart"/>
    <w:rsid w:val="00701552"/>
    <w:rPr>
      <w:noProof w:val="0"/>
    </w:rPr>
  </w:style>
  <w:style w:type="character" w:styleId="HTMLBeispiel">
    <w:name w:val="HTML Sample"/>
    <w:basedOn w:val="Absatz-Standardschriftart"/>
    <w:rsid w:val="00701552"/>
    <w:rPr>
      <w:rFonts w:ascii="Courier New" w:hAnsi="Courier New" w:cs="Courier New"/>
      <w:noProof w:val="0"/>
      <w:sz w:val="20"/>
      <w:szCs w:val="20"/>
    </w:rPr>
  </w:style>
  <w:style w:type="character" w:styleId="HTMLCode">
    <w:name w:val="HTML Code"/>
    <w:basedOn w:val="Absatz-Standardschriftart"/>
    <w:rsid w:val="00701552"/>
    <w:rPr>
      <w:rFonts w:ascii="Courier New" w:hAnsi="Courier New" w:cs="Courier New"/>
      <w:noProof w:val="0"/>
      <w:sz w:val="20"/>
      <w:szCs w:val="20"/>
    </w:rPr>
  </w:style>
  <w:style w:type="character" w:styleId="HTMLDefinition">
    <w:name w:val="HTML Definition"/>
    <w:basedOn w:val="Absatz-Standardschriftart"/>
    <w:rsid w:val="00701552"/>
    <w:rPr>
      <w:i/>
      <w:iCs/>
      <w:noProof w:val="0"/>
    </w:rPr>
  </w:style>
  <w:style w:type="character" w:styleId="HTMLSchreibmaschine">
    <w:name w:val="HTML Typewriter"/>
    <w:basedOn w:val="Absatz-Standardschriftart"/>
    <w:rsid w:val="00701552"/>
    <w:rPr>
      <w:rFonts w:ascii="Courier New" w:hAnsi="Courier New" w:cs="Courier New"/>
      <w:noProof w:val="0"/>
      <w:sz w:val="20"/>
      <w:szCs w:val="20"/>
    </w:rPr>
  </w:style>
  <w:style w:type="character" w:styleId="HTMLTastatur">
    <w:name w:val="HTML Keyboard"/>
    <w:basedOn w:val="Absatz-Standardschriftart"/>
    <w:rsid w:val="00701552"/>
    <w:rPr>
      <w:rFonts w:ascii="Courier New" w:hAnsi="Courier New" w:cs="Courier New"/>
      <w:noProof w:val="0"/>
      <w:sz w:val="20"/>
      <w:szCs w:val="20"/>
    </w:rPr>
  </w:style>
  <w:style w:type="character" w:styleId="HTMLVariable">
    <w:name w:val="HTML Variable"/>
    <w:basedOn w:val="Absatz-Standardschriftart"/>
    <w:rsid w:val="00701552"/>
    <w:rPr>
      <w:i/>
      <w:iCs/>
      <w:noProof w:val="0"/>
    </w:rPr>
  </w:style>
  <w:style w:type="character" w:styleId="HTMLZitat">
    <w:name w:val="HTML Cite"/>
    <w:basedOn w:val="Absatz-Standardschriftart"/>
    <w:rsid w:val="00701552"/>
    <w:rPr>
      <w:i/>
      <w:iCs/>
      <w:noProof w:val="0"/>
    </w:rPr>
  </w:style>
  <w:style w:type="character" w:styleId="Hyperlink">
    <w:name w:val="Hyperlink"/>
    <w:basedOn w:val="Absatz-Standardschriftart"/>
    <w:rsid w:val="00701552"/>
    <w:rPr>
      <w:noProof w:val="0"/>
      <w:color w:val="0000FF" w:themeColor="hyperlink"/>
      <w:u w:val="single"/>
    </w:rPr>
  </w:style>
  <w:style w:type="character" w:styleId="IntensiveHervorhebung">
    <w:name w:val="Intense Emphasis"/>
    <w:basedOn w:val="Absatz-Standardschriftart"/>
    <w:uiPriority w:val="21"/>
    <w:qFormat/>
    <w:rsid w:val="00701552"/>
    <w:rPr>
      <w:b/>
      <w:bCs/>
      <w:i/>
      <w:iCs/>
      <w:noProof w:val="0"/>
      <w:color w:val="4F81BD" w:themeColor="accent1"/>
    </w:rPr>
  </w:style>
  <w:style w:type="character" w:styleId="IntensiverVerweis">
    <w:name w:val="Intense Reference"/>
    <w:basedOn w:val="Absatz-Standardschriftart"/>
    <w:uiPriority w:val="32"/>
    <w:qFormat/>
    <w:rsid w:val="00701552"/>
    <w:rPr>
      <w:b/>
      <w:bCs/>
      <w:smallCaps/>
      <w:noProof w:val="0"/>
      <w:color w:val="C0504D" w:themeColor="accent2"/>
      <w:spacing w:val="5"/>
      <w:u w:val="single"/>
    </w:rPr>
  </w:style>
  <w:style w:type="paragraph" w:styleId="KeinLeerraum">
    <w:name w:val="No Spacing"/>
    <w:uiPriority w:val="1"/>
    <w:qFormat/>
    <w:rsid w:val="00701552"/>
    <w:pPr>
      <w:overflowPunct w:val="0"/>
      <w:autoSpaceDE w:val="0"/>
      <w:autoSpaceDN w:val="0"/>
      <w:adjustRightInd w:val="0"/>
      <w:textAlignment w:val="baseline"/>
    </w:pPr>
  </w:style>
  <w:style w:type="character" w:styleId="Kommentarzeichen">
    <w:name w:val="annotation reference"/>
    <w:basedOn w:val="Absatz-Standardschriftart"/>
    <w:rsid w:val="00701552"/>
    <w:rPr>
      <w:noProof w:val="0"/>
      <w:sz w:val="16"/>
      <w:szCs w:val="16"/>
    </w:rPr>
  </w:style>
  <w:style w:type="paragraph" w:styleId="Makrotext">
    <w:name w:val="macro"/>
    <w:link w:val="MakrotextZchn"/>
    <w:rsid w:val="00701552"/>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701552"/>
    <w:rPr>
      <w:rFonts w:ascii="Courier New" w:hAnsi="Courier New" w:cs="Courier New"/>
      <w:noProof w:val="0"/>
    </w:rPr>
  </w:style>
  <w:style w:type="table" w:styleId="MittlereListe1">
    <w:name w:val="Medium List 1"/>
    <w:basedOn w:val="NormaleTabelle"/>
    <w:uiPriority w:val="65"/>
    <w:rsid w:val="0070155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701552"/>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701552"/>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701552"/>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701552"/>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701552"/>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701552"/>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701552"/>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70155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70155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701552"/>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701552"/>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701552"/>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70155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701552"/>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70155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70155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70155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701552"/>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701552"/>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701552"/>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70155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701552"/>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701552"/>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7015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701552"/>
    <w:rPr>
      <w:noProof w:val="0"/>
      <w:color w:val="808080"/>
    </w:rPr>
  </w:style>
  <w:style w:type="character" w:styleId="SchwacheHervorhebung">
    <w:name w:val="Subtle Emphasis"/>
    <w:basedOn w:val="Absatz-Standardschriftart"/>
    <w:uiPriority w:val="19"/>
    <w:qFormat/>
    <w:rsid w:val="00701552"/>
    <w:rPr>
      <w:i/>
      <w:iCs/>
      <w:noProof w:val="0"/>
      <w:color w:val="808080" w:themeColor="text1" w:themeTint="7F"/>
    </w:rPr>
  </w:style>
  <w:style w:type="character" w:styleId="SchwacherVerweis">
    <w:name w:val="Subtle Reference"/>
    <w:basedOn w:val="Absatz-Standardschriftart"/>
    <w:uiPriority w:val="31"/>
    <w:qFormat/>
    <w:rsid w:val="00701552"/>
    <w:rPr>
      <w:smallCaps/>
      <w:noProof w:val="0"/>
      <w:color w:val="C0504D" w:themeColor="accent2"/>
      <w:u w:val="single"/>
    </w:rPr>
  </w:style>
  <w:style w:type="table" w:styleId="Tabelle3D-Effekt1">
    <w:name w:val="Table 3D effects 1"/>
    <w:basedOn w:val="NormaleTabelle"/>
    <w:rsid w:val="00701552"/>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701552"/>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701552"/>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701552"/>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701552"/>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701552"/>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701552"/>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701552"/>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701552"/>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701552"/>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701552"/>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701552"/>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701552"/>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701552"/>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701552"/>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701552"/>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701552"/>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701552"/>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701552"/>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701552"/>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701552"/>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701552"/>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701552"/>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701552"/>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701552"/>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701552"/>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701552"/>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701552"/>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701552"/>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701552"/>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701552"/>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701552"/>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701552"/>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701552"/>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701552"/>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701552"/>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701552"/>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701552"/>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701552"/>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701552"/>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701552"/>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701552"/>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701552"/>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701552"/>
    <w:rPr>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4832</Words>
  <Characters>30564</Characters>
  <Application>Microsoft Office Word</Application>
  <DocSecurity>0</DocSecurity>
  <Lines>545</Lines>
  <Paragraphs>129</Paragraphs>
  <ScaleCrop>false</ScaleCrop>
  <Company>Justiz Sachsen</Company>
  <LinksUpToDate>false</LinksUpToDate>
  <CharactersWithSpaces>35267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Doku-P - Justiz Sachsen, OVG Bautzen</dc:creator>
  <cp:keywords/>
  <dc:description/>
  <cp:lastModifiedBy>Doku-P - Justiz Sachsen, OVG Bautzen</cp:lastModifiedBy>
  <cp:revision>2</cp:revision>
  <dcterms:created xsi:type="dcterms:W3CDTF">2015-01-23T13:34:00Z</dcterms:created>
  <dcterms:modified xsi:type="dcterms:W3CDTF">2015-01-23T13:42:00Z</dcterms:modified>
</cp:coreProperties>
</file>